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27B214D" w:rsidR="00A209D6" w:rsidRPr="00B266B0" w:rsidRDefault="00A209D6" w:rsidP="46DB3364">
      <w:pPr>
        <w:pStyle w:val="Header"/>
        <w:tabs>
          <w:tab w:val="right" w:pos="9639"/>
        </w:tabs>
        <w:rPr>
          <w:noProof w:val="0"/>
          <w:sz w:val="24"/>
          <w:szCs w:val="24"/>
        </w:rPr>
      </w:pPr>
      <w:r w:rsidRPr="46DB3364">
        <w:rPr>
          <w:noProof w:val="0"/>
          <w:sz w:val="24"/>
          <w:szCs w:val="24"/>
        </w:rPr>
        <w:t>3GPP TSG-RAN WG2 Meeting #</w:t>
      </w:r>
      <w:r w:rsidR="0036459E" w:rsidRPr="46DB3364">
        <w:rPr>
          <w:noProof w:val="0"/>
          <w:sz w:val="24"/>
          <w:szCs w:val="24"/>
        </w:rPr>
        <w:t>1</w:t>
      </w:r>
      <w:r w:rsidR="008B54E8" w:rsidRPr="46DB3364">
        <w:rPr>
          <w:noProof w:val="0"/>
          <w:sz w:val="24"/>
          <w:szCs w:val="24"/>
        </w:rPr>
        <w:t>2</w:t>
      </w:r>
      <w:r w:rsidR="006A59E0">
        <w:rPr>
          <w:noProof w:val="0"/>
          <w:sz w:val="24"/>
          <w:szCs w:val="24"/>
        </w:rPr>
        <w:t>4</w:t>
      </w:r>
      <w:r>
        <w:tab/>
      </w:r>
      <w:r w:rsidR="00FD6DBB" w:rsidRPr="00FD6DBB">
        <w:rPr>
          <w:noProof w:val="0"/>
          <w:sz w:val="24"/>
          <w:szCs w:val="24"/>
        </w:rPr>
        <w:t>R2-2313198</w:t>
      </w:r>
    </w:p>
    <w:p w14:paraId="11776FA6" w14:textId="7224B8AD" w:rsidR="00A209D6" w:rsidRPr="00465587" w:rsidRDefault="00927F29" w:rsidP="00A209D6">
      <w:pPr>
        <w:pStyle w:val="Header"/>
        <w:tabs>
          <w:tab w:val="right" w:pos="9639"/>
        </w:tabs>
        <w:rPr>
          <w:rFonts w:eastAsia="SimSun"/>
          <w:bCs/>
          <w:sz w:val="24"/>
          <w:szCs w:val="24"/>
          <w:lang w:eastAsia="zh-CN"/>
        </w:rPr>
      </w:pPr>
      <w:r>
        <w:rPr>
          <w:rFonts w:eastAsia="SimSun"/>
          <w:bCs/>
          <w:sz w:val="24"/>
          <w:szCs w:val="24"/>
          <w:lang w:eastAsia="zh-CN"/>
        </w:rPr>
        <w:t>Chicago</w:t>
      </w:r>
      <w:r w:rsidRPr="002240E0">
        <w:rPr>
          <w:rFonts w:eastAsia="SimSun"/>
          <w:bCs/>
          <w:sz w:val="24"/>
          <w:szCs w:val="24"/>
          <w:lang w:eastAsia="zh-CN"/>
        </w:rPr>
        <w:t xml:space="preserve">, </w:t>
      </w:r>
      <w:r>
        <w:rPr>
          <w:rFonts w:eastAsia="SimSun"/>
          <w:bCs/>
          <w:sz w:val="24"/>
          <w:szCs w:val="24"/>
          <w:lang w:eastAsia="zh-CN"/>
        </w:rPr>
        <w:t>USA</w:t>
      </w:r>
      <w:r w:rsidRPr="002240E0">
        <w:rPr>
          <w:rFonts w:eastAsia="SimSun"/>
          <w:bCs/>
          <w:sz w:val="24"/>
          <w:szCs w:val="24"/>
          <w:lang w:eastAsia="zh-CN"/>
        </w:rPr>
        <w:t xml:space="preserve">, </w:t>
      </w:r>
      <w:r>
        <w:rPr>
          <w:rFonts w:eastAsia="SimSun"/>
          <w:bCs/>
          <w:sz w:val="24"/>
          <w:szCs w:val="24"/>
          <w:lang w:eastAsia="zh-CN"/>
        </w:rPr>
        <w:t xml:space="preserve">13 </w:t>
      </w:r>
      <w:r w:rsidRPr="002240E0">
        <w:rPr>
          <w:rFonts w:eastAsia="SimSun"/>
          <w:bCs/>
          <w:sz w:val="24"/>
          <w:szCs w:val="24"/>
          <w:lang w:eastAsia="zh-CN"/>
        </w:rPr>
        <w:t xml:space="preserve">– </w:t>
      </w:r>
      <w:r>
        <w:rPr>
          <w:rFonts w:eastAsia="SimSun"/>
          <w:bCs/>
          <w:sz w:val="24"/>
          <w:szCs w:val="24"/>
          <w:lang w:eastAsia="zh-CN"/>
        </w:rPr>
        <w:t>17</w:t>
      </w:r>
      <w:r w:rsidRPr="002240E0">
        <w:rPr>
          <w:rFonts w:eastAsia="SimSun"/>
          <w:bCs/>
          <w:sz w:val="24"/>
          <w:szCs w:val="24"/>
          <w:lang w:eastAsia="zh-CN"/>
        </w:rPr>
        <w:t xml:space="preserve"> </w:t>
      </w:r>
      <w:r>
        <w:rPr>
          <w:rFonts w:eastAsia="SimSun"/>
          <w:bCs/>
          <w:sz w:val="24"/>
          <w:szCs w:val="24"/>
          <w:lang w:eastAsia="zh-CN"/>
        </w:rPr>
        <w:t>November</w:t>
      </w:r>
      <w:r w:rsidRPr="002240E0">
        <w:rPr>
          <w:rFonts w:eastAsia="SimSun"/>
          <w:bCs/>
          <w:sz w:val="24"/>
          <w:szCs w:val="24"/>
          <w:lang w:eastAsia="zh-CN"/>
        </w:rPr>
        <w:t xml:space="preserve">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69CB196" w:rsidR="00446C3A" w:rsidRPr="00B266B0" w:rsidRDefault="00446C3A" w:rsidP="00446C3A">
      <w:pPr>
        <w:pStyle w:val="CRCoverPage"/>
        <w:tabs>
          <w:tab w:val="left" w:pos="1985"/>
        </w:tabs>
        <w:rPr>
          <w:rFonts w:cs="Arial"/>
          <w:b/>
          <w:bCs/>
          <w:sz w:val="24"/>
          <w:lang w:eastAsia="ja-JP"/>
        </w:rPr>
      </w:pPr>
      <w:r w:rsidRPr="00C4515D">
        <w:rPr>
          <w:rFonts w:cs="Arial"/>
          <w:b/>
          <w:bCs/>
          <w:sz w:val="24"/>
        </w:rPr>
        <w:t>Agenda item:</w:t>
      </w:r>
      <w:r w:rsidRPr="00C4515D">
        <w:rPr>
          <w:rFonts w:cs="Arial"/>
          <w:b/>
          <w:bCs/>
          <w:sz w:val="24"/>
        </w:rPr>
        <w:tab/>
      </w:r>
      <w:r w:rsidR="00BF467D" w:rsidRPr="00C4515D">
        <w:rPr>
          <w:rFonts w:cs="Arial"/>
          <w:b/>
          <w:bCs/>
          <w:sz w:val="24"/>
          <w:lang w:eastAsia="ja-JP"/>
        </w:rPr>
        <w:t>7</w:t>
      </w:r>
      <w:r w:rsidRPr="00C4515D">
        <w:rPr>
          <w:rFonts w:cs="Arial"/>
          <w:b/>
          <w:bCs/>
          <w:sz w:val="24"/>
          <w:lang w:eastAsia="ja-JP"/>
        </w:rPr>
        <w:t>.</w:t>
      </w:r>
      <w:r w:rsidR="00BF467D" w:rsidRPr="00C4515D">
        <w:rPr>
          <w:rFonts w:cs="Arial"/>
          <w:b/>
          <w:bCs/>
          <w:sz w:val="24"/>
          <w:lang w:eastAsia="ja-JP"/>
        </w:rPr>
        <w:t>12.</w:t>
      </w:r>
      <w:r w:rsidR="00675DD9">
        <w:rPr>
          <w:rFonts w:cs="Arial"/>
          <w:b/>
          <w:bCs/>
          <w:sz w:val="24"/>
          <w:lang w:eastAsia="ja-JP"/>
        </w:rPr>
        <w:t>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CF0BA91" w:rsidR="00446C3A" w:rsidRDefault="00446C3A" w:rsidP="17668648">
      <w:pPr>
        <w:ind w:left="1985" w:hanging="1985"/>
        <w:rPr>
          <w:rFonts w:ascii="Arial" w:hAnsi="Arial" w:cs="Arial"/>
          <w:b/>
          <w:bCs/>
          <w:sz w:val="24"/>
          <w:szCs w:val="24"/>
        </w:rPr>
      </w:pPr>
      <w:r w:rsidRPr="17668648">
        <w:rPr>
          <w:rFonts w:ascii="Arial" w:hAnsi="Arial" w:cs="Arial"/>
          <w:b/>
          <w:bCs/>
          <w:sz w:val="24"/>
          <w:szCs w:val="24"/>
        </w:rPr>
        <w:t>Title:</w:t>
      </w:r>
      <w:r>
        <w:tab/>
      </w:r>
      <w:r w:rsidR="00D0613A">
        <w:rPr>
          <w:rFonts w:ascii="Arial" w:hAnsi="Arial" w:cs="Arial"/>
          <w:b/>
          <w:bCs/>
          <w:sz w:val="24"/>
          <w:szCs w:val="24"/>
        </w:rPr>
        <w:t>Remaining connected mode issues</w:t>
      </w:r>
      <w:r w:rsidR="00B26848" w:rsidRPr="000718BC">
        <w:rPr>
          <w:rFonts w:ascii="Arial" w:hAnsi="Arial" w:cs="Arial"/>
          <w:b/>
          <w:bCs/>
          <w:sz w:val="24"/>
          <w:szCs w:val="24"/>
        </w:rPr>
        <w:t xml:space="preserve"> </w:t>
      </w:r>
      <w:r w:rsidR="000718BC">
        <w:rPr>
          <w:rFonts w:ascii="Arial" w:hAnsi="Arial" w:cs="Arial"/>
          <w:b/>
          <w:bCs/>
          <w:sz w:val="24"/>
          <w:szCs w:val="24"/>
        </w:rPr>
        <w:t>for</w:t>
      </w:r>
      <w:r w:rsidR="00B26848" w:rsidRPr="000718BC">
        <w:rPr>
          <w:rFonts w:ascii="Arial" w:hAnsi="Arial" w:cs="Arial"/>
          <w:b/>
          <w:bCs/>
          <w:sz w:val="24"/>
          <w:szCs w:val="24"/>
        </w:rPr>
        <w:t xml:space="preserve"> mobile IAB</w:t>
      </w:r>
    </w:p>
    <w:p w14:paraId="25F387E8" w14:textId="45B40DED"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F467D" w:rsidRPr="00541CA4">
        <w:rPr>
          <w:rFonts w:ascii="Arial" w:hAnsi="Arial" w:cs="Arial"/>
          <w:b/>
          <w:bCs/>
          <w:sz w:val="24"/>
        </w:rPr>
        <w:t>NR_mobile_IAB-Core</w:t>
      </w:r>
      <w:r w:rsidR="00BF467D" w:rsidRPr="00112F1A">
        <w:rPr>
          <w:rFonts w:ascii="Arial" w:hAnsi="Arial" w:cs="Arial"/>
          <w:b/>
          <w:bCs/>
          <w:sz w:val="24"/>
        </w:rPr>
        <w:t xml:space="preserve"> </w:t>
      </w:r>
      <w:r w:rsidR="00BF467D">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5318868" w14:textId="6B533F24" w:rsidR="00BF467D" w:rsidRDefault="00282E06" w:rsidP="00282E06">
      <w:pPr>
        <w:spacing w:after="0"/>
      </w:pPr>
      <w:r>
        <w:t xml:space="preserve">In this contribution, we discuss </w:t>
      </w:r>
      <w:r w:rsidR="00EA1470">
        <w:t xml:space="preserve">several </w:t>
      </w:r>
      <w:r w:rsidR="002E05FC">
        <w:t xml:space="preserve">connected mode </w:t>
      </w:r>
      <w:r w:rsidR="006E09C0">
        <w:t xml:space="preserve">issues </w:t>
      </w:r>
      <w:r w:rsidR="0097477F">
        <w:t>for Rel-18</w:t>
      </w:r>
      <w:r w:rsidR="002E05FC">
        <w:t xml:space="preserve"> mobile IAB</w:t>
      </w:r>
      <w:r w:rsidR="00E15F1B">
        <w:t xml:space="preserve">: </w:t>
      </w:r>
      <w:r w:rsidR="00C46C32">
        <w:t xml:space="preserve">issues related to </w:t>
      </w:r>
      <w:r w:rsidR="00E15F1B">
        <w:t>RACH-less handover</w:t>
      </w:r>
      <w:r w:rsidR="00C46C32">
        <w:t xml:space="preserve"> beam indication</w:t>
      </w:r>
      <w:r w:rsidR="00E15F1B">
        <w:t xml:space="preserve"> </w:t>
      </w:r>
      <w:r w:rsidR="000F34CF">
        <w:t xml:space="preserve">for </w:t>
      </w:r>
      <w:r w:rsidR="00244AF5">
        <w:t>on-board UEs</w:t>
      </w:r>
      <w:r w:rsidR="000F34CF">
        <w:t>, whether to support c</w:t>
      </w:r>
      <w:r w:rsidR="00E15F1B">
        <w:t xml:space="preserve">onditional handover of </w:t>
      </w:r>
      <w:r w:rsidR="000F34CF">
        <w:t xml:space="preserve">on-board </w:t>
      </w:r>
      <w:r w:rsidR="00E15F1B">
        <w:t>UEs</w:t>
      </w:r>
      <w:r w:rsidR="000F34CF">
        <w:t>,</w:t>
      </w:r>
      <w:r w:rsidR="00E15F1B">
        <w:t xml:space="preserve"> and </w:t>
      </w:r>
      <w:r w:rsidR="00F75BEC">
        <w:t>avoiding</w:t>
      </w:r>
      <w:r w:rsidR="000F34CF">
        <w:t xml:space="preserve"> unnecessary handover </w:t>
      </w:r>
      <w:r w:rsidR="00E15F1B">
        <w:t xml:space="preserve">measurements </w:t>
      </w:r>
      <w:r w:rsidR="006A39F0">
        <w:t>at</w:t>
      </w:r>
      <w:r w:rsidR="002E05FC">
        <w:t xml:space="preserve"> mobile IAB nodes.</w:t>
      </w:r>
    </w:p>
    <w:p w14:paraId="7D484B6E" w14:textId="43534EA4" w:rsidR="009339CB" w:rsidRPr="006E13D1" w:rsidRDefault="009339CB" w:rsidP="009339CB">
      <w:pPr>
        <w:pStyle w:val="Heading1"/>
      </w:pPr>
      <w:r w:rsidRPr="006E13D1">
        <w:t>2</w:t>
      </w:r>
      <w:r w:rsidRPr="006E13D1">
        <w:tab/>
      </w:r>
      <w:r w:rsidR="00BF467D">
        <w:t>Discussion</w:t>
      </w:r>
    </w:p>
    <w:p w14:paraId="0CAEC25C" w14:textId="2884279E" w:rsidR="00B4349D" w:rsidRDefault="007855CA" w:rsidP="009339CB">
      <w:pPr>
        <w:pStyle w:val="Heading2"/>
      </w:pPr>
      <w:r>
        <w:t>2.1</w:t>
      </w:r>
      <w:r w:rsidRPr="006E13D1">
        <w:tab/>
      </w:r>
      <w:r w:rsidR="00021BF3">
        <w:t xml:space="preserve">Beam selection during mobile IAB </w:t>
      </w:r>
      <w:r w:rsidR="008E3F9D">
        <w:t>RACH-less handover</w:t>
      </w:r>
    </w:p>
    <w:p w14:paraId="0397DB8E" w14:textId="1E9C0D55" w:rsidR="007766D1" w:rsidRDefault="0027569B" w:rsidP="00DE294E">
      <w:r>
        <w:rPr>
          <w:noProof/>
        </w:rPr>
        <mc:AlternateContent>
          <mc:Choice Requires="wps">
            <w:drawing>
              <wp:anchor distT="45720" distB="45720" distL="114300" distR="114300" simplePos="0" relativeHeight="251664384" behindDoc="0" locked="0" layoutInCell="1" allowOverlap="1" wp14:anchorId="157BF5FF" wp14:editId="583AF305">
                <wp:simplePos x="0" y="0"/>
                <wp:positionH relativeFrom="margin">
                  <wp:align>right</wp:align>
                </wp:positionH>
                <wp:positionV relativeFrom="paragraph">
                  <wp:posOffset>362430</wp:posOffset>
                </wp:positionV>
                <wp:extent cx="5934075" cy="1404620"/>
                <wp:effectExtent l="0" t="0" r="28575" b="26670"/>
                <wp:wrapTopAndBottom/>
                <wp:docPr id="392666506" name="Text Box 3926665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075" cy="1404620"/>
                        </a:xfrm>
                        <a:prstGeom prst="rect">
                          <a:avLst/>
                        </a:prstGeom>
                        <a:solidFill>
                          <a:srgbClr val="FFFFFF"/>
                        </a:solidFill>
                        <a:ln w="9525">
                          <a:solidFill>
                            <a:srgbClr val="000000"/>
                          </a:solidFill>
                          <a:miter lim="800000"/>
                          <a:headEnd/>
                          <a:tailEnd/>
                        </a:ln>
                      </wps:spPr>
                      <wps:txbx>
                        <w:txbxContent>
                          <w:p w14:paraId="343CCF82" w14:textId="77777777" w:rsidR="00C96E07" w:rsidRDefault="00C96E07" w:rsidP="00C96E07">
                            <w:pPr>
                              <w:pStyle w:val="Agreement"/>
                              <w:numPr>
                                <w:ilvl w:val="0"/>
                                <w:numId w:val="8"/>
                              </w:numPr>
                              <w:tabs>
                                <w:tab w:val="clear" w:pos="720"/>
                                <w:tab w:val="num" w:pos="360"/>
                                <w:tab w:val="num" w:pos="1619"/>
                              </w:tabs>
                              <w:ind w:left="360"/>
                              <w:rPr>
                                <w:lang w:eastAsia="zh-CN"/>
                              </w:rPr>
                            </w:pPr>
                            <w:r>
                              <w:rPr>
                                <w:lang w:eastAsia="zh-CN"/>
                              </w:rPr>
                              <w:t xml:space="preserve">P4a. For </w:t>
                            </w:r>
                            <w:proofErr w:type="spellStart"/>
                            <w:r>
                              <w:rPr>
                                <w:lang w:eastAsia="zh-CN"/>
                              </w:rPr>
                              <w:t>mIAB</w:t>
                            </w:r>
                            <w:proofErr w:type="spellEnd"/>
                            <w:r>
                              <w:rPr>
                                <w:lang w:eastAsia="zh-CN"/>
                              </w:rPr>
                              <w:t xml:space="preserve"> RACH-less HO, the target cell beam information is explicitly included in HO command (confirms existing </w:t>
                            </w:r>
                            <w:proofErr w:type="spellStart"/>
                            <w:r>
                              <w:rPr>
                                <w:lang w:eastAsia="zh-CN"/>
                              </w:rPr>
                              <w:t>mIAB</w:t>
                            </w:r>
                            <w:proofErr w:type="spellEnd"/>
                            <w:r>
                              <w:rPr>
                                <w:lang w:eastAsia="zh-CN"/>
                              </w:rPr>
                              <w:t xml:space="preserve"> agreement).</w:t>
                            </w:r>
                          </w:p>
                          <w:p w14:paraId="34F2B9BF" w14:textId="1DC5645C" w:rsidR="00C96E07" w:rsidRDefault="00C96E07" w:rsidP="00FF764C">
                            <w:pPr>
                              <w:pStyle w:val="Agreement"/>
                              <w:numPr>
                                <w:ilvl w:val="0"/>
                                <w:numId w:val="8"/>
                              </w:numPr>
                              <w:tabs>
                                <w:tab w:val="clear" w:pos="720"/>
                                <w:tab w:val="num" w:pos="360"/>
                                <w:tab w:val="num" w:pos="1619"/>
                              </w:tabs>
                              <w:ind w:left="360"/>
                              <w:rPr>
                                <w:lang w:eastAsia="zh-CN"/>
                              </w:rPr>
                            </w:pPr>
                            <w:r>
                              <w:rPr>
                                <w:lang w:eastAsia="zh-CN"/>
                              </w:rPr>
                              <w:t xml:space="preserve">P4b. For RACH-less HO in </w:t>
                            </w:r>
                            <w:proofErr w:type="spellStart"/>
                            <w:r>
                              <w:rPr>
                                <w:lang w:eastAsia="zh-CN"/>
                              </w:rPr>
                              <w:t>mIAB</w:t>
                            </w:r>
                            <w:proofErr w:type="spellEnd"/>
                            <w:r>
                              <w:rPr>
                                <w:lang w:eastAsia="zh-CN"/>
                              </w:rPr>
                              <w:t>, it is left to network implementation whether the network selects a beam (to indicate to the UE) based on the UE measurement report, or the network uses implicit knowledge to select a beam (to indicate to the UE).</w:t>
                            </w:r>
                          </w:p>
                          <w:p w14:paraId="5682F300" w14:textId="2CAEED53" w:rsidR="00C96E07" w:rsidRDefault="00FE5C4B" w:rsidP="00FE5C4B">
                            <w:pPr>
                              <w:pStyle w:val="Agreement"/>
                              <w:numPr>
                                <w:ilvl w:val="0"/>
                                <w:numId w:val="8"/>
                              </w:numPr>
                              <w:tabs>
                                <w:tab w:val="clear" w:pos="720"/>
                                <w:tab w:val="num" w:pos="360"/>
                                <w:tab w:val="num" w:pos="1619"/>
                              </w:tabs>
                              <w:ind w:left="360"/>
                            </w:pPr>
                            <w:r>
                              <w:t xml:space="preserve">Observation: for </w:t>
                            </w:r>
                            <w:proofErr w:type="spellStart"/>
                            <w:r>
                              <w:t>mIAB</w:t>
                            </w:r>
                            <w:proofErr w:type="spellEnd"/>
                            <w:r>
                              <w:t>, the network can always provide a beam indication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57BF5FF" id="_x0000_t202" coordsize="21600,21600" o:spt="202" path="m,l,21600r21600,l21600,xe">
                <v:stroke joinstyle="miter"/>
                <v:path gradientshapeok="t" o:connecttype="rect"/>
              </v:shapetype>
              <v:shape id="Text Box 392666506" o:spid="_x0000_s1026" type="#_x0000_t202" style="position:absolute;margin-left:416.05pt;margin-top:28.55pt;width:467.25pt;height:110.6pt;z-index:25166438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">
                <v:textbox style="mso-fit-shape-to-text:t">
                  <w:txbxContent>
                    <w:p w14:paraId="343CCF82" w14:textId="77777777" w:rsidR="00C96E07" w:rsidRDefault="00C96E07" w:rsidP="00C96E07">
                      <w:pPr>
                        <w:pStyle w:val="Agreement"/>
                        <w:numPr>
                          <w:ilvl w:val="0"/>
                          <w:numId w:val="8"/>
                        </w:numPr>
                        <w:tabs>
                          <w:tab w:val="clear" w:pos="720"/>
                          <w:tab w:val="num" w:pos="360"/>
                          <w:tab w:val="num" w:pos="1619"/>
                        </w:tabs>
                        <w:ind w:left="360"/>
                        <w:rPr>
                          <w:lang w:eastAsia="zh-CN"/>
                        </w:rPr>
                      </w:pPr>
                      <w:r>
                        <w:rPr>
                          <w:lang w:eastAsia="zh-CN"/>
                        </w:rPr>
                        <w:t xml:space="preserve">P4a. For </w:t>
                      </w:r>
                      <w:proofErr w:type="spellStart"/>
                      <w:r>
                        <w:rPr>
                          <w:lang w:eastAsia="zh-CN"/>
                        </w:rPr>
                        <w:t>mIAB</w:t>
                      </w:r>
                      <w:proofErr w:type="spellEnd"/>
                      <w:r>
                        <w:rPr>
                          <w:lang w:eastAsia="zh-CN"/>
                        </w:rPr>
                        <w:t xml:space="preserve"> RACH-less HO, the target cell beam information is explicitly included in HO command (confirms existing </w:t>
                      </w:r>
                      <w:proofErr w:type="spellStart"/>
                      <w:r>
                        <w:rPr>
                          <w:lang w:eastAsia="zh-CN"/>
                        </w:rPr>
                        <w:t>mIAB</w:t>
                      </w:r>
                      <w:proofErr w:type="spellEnd"/>
                      <w:r>
                        <w:rPr>
                          <w:lang w:eastAsia="zh-CN"/>
                        </w:rPr>
                        <w:t xml:space="preserve"> agreement).</w:t>
                      </w:r>
                    </w:p>
                    <w:p w14:paraId="34F2B9BF" w14:textId="1DC5645C" w:rsidR="00C96E07" w:rsidRDefault="00C96E07" w:rsidP="00FF764C">
                      <w:pPr>
                        <w:pStyle w:val="Agreement"/>
                        <w:numPr>
                          <w:ilvl w:val="0"/>
                          <w:numId w:val="8"/>
                        </w:numPr>
                        <w:tabs>
                          <w:tab w:val="clear" w:pos="720"/>
                          <w:tab w:val="num" w:pos="360"/>
                          <w:tab w:val="num" w:pos="1619"/>
                        </w:tabs>
                        <w:ind w:left="360"/>
                        <w:rPr>
                          <w:lang w:eastAsia="zh-CN"/>
                        </w:rPr>
                      </w:pPr>
                      <w:r>
                        <w:rPr>
                          <w:lang w:eastAsia="zh-CN"/>
                        </w:rPr>
                        <w:t xml:space="preserve">P4b. For RACH-less HO in </w:t>
                      </w:r>
                      <w:proofErr w:type="spellStart"/>
                      <w:r>
                        <w:rPr>
                          <w:lang w:eastAsia="zh-CN"/>
                        </w:rPr>
                        <w:t>mIAB</w:t>
                      </w:r>
                      <w:proofErr w:type="spellEnd"/>
                      <w:r>
                        <w:rPr>
                          <w:lang w:eastAsia="zh-CN"/>
                        </w:rPr>
                        <w:t>, it is left to network implementation whether the network selects a beam (to indicate to the UE) based on the UE measurement report, or the network uses implicit knowledge to select a beam (to indicate to the UE).</w:t>
                      </w:r>
                    </w:p>
                    <w:p w14:paraId="5682F300" w14:textId="2CAEED53" w:rsidR="00C96E07" w:rsidRDefault="00FE5C4B" w:rsidP="00FE5C4B">
                      <w:pPr>
                        <w:pStyle w:val="Agreement"/>
                        <w:numPr>
                          <w:ilvl w:val="0"/>
                          <w:numId w:val="8"/>
                        </w:numPr>
                        <w:tabs>
                          <w:tab w:val="clear" w:pos="720"/>
                          <w:tab w:val="num" w:pos="360"/>
                          <w:tab w:val="num" w:pos="1619"/>
                        </w:tabs>
                        <w:ind w:left="360"/>
                      </w:pPr>
                      <w:r>
                        <w:t xml:space="preserve">Observation: for </w:t>
                      </w:r>
                      <w:proofErr w:type="spellStart"/>
                      <w:r>
                        <w:t>mIAB</w:t>
                      </w:r>
                      <w:proofErr w:type="spellEnd"/>
                      <w:r>
                        <w:t>, the network can always provide a beam indication</w:t>
                      </w:r>
                    </w:p>
                  </w:txbxContent>
                </v:textbox>
                <w10:wrap type="topAndBottom" anchorx="margin"/>
              </v:shape>
            </w:pict>
          </mc:Fallback>
        </mc:AlternateContent>
      </w:r>
      <w:r>
        <w:t xml:space="preserve">At RAN2#123bis, </w:t>
      </w:r>
      <w:r w:rsidR="000B4EB8">
        <w:t>t</w:t>
      </w:r>
      <w:r>
        <w:t>he following agreements</w:t>
      </w:r>
      <w:r w:rsidR="000B4EB8">
        <w:t xml:space="preserve"> and observation were made </w:t>
      </w:r>
      <w:r w:rsidR="00782AD8">
        <w:t>related to</w:t>
      </w:r>
      <w:r w:rsidR="000B4EB8">
        <w:t xml:space="preserve"> </w:t>
      </w:r>
      <w:r>
        <w:t xml:space="preserve">the beam indication </w:t>
      </w:r>
      <w:r w:rsidR="00782AD8">
        <w:t>used for</w:t>
      </w:r>
      <w:r>
        <w:t xml:space="preserve"> </w:t>
      </w:r>
      <w:r w:rsidR="00782AD8">
        <w:t>mobile IAB</w:t>
      </w:r>
      <w:r w:rsidR="007766D1">
        <w:t xml:space="preserve"> RACH-less handover</w:t>
      </w:r>
      <w:r>
        <w:t>:</w:t>
      </w:r>
    </w:p>
    <w:p w14:paraId="11954ACD" w14:textId="627DA879" w:rsidR="00306E6C" w:rsidRDefault="00694ADD" w:rsidP="00A27208">
      <w:r>
        <w:t xml:space="preserve">P4b </w:t>
      </w:r>
      <w:r w:rsidR="009D28A0">
        <w:t>wa</w:t>
      </w:r>
      <w:r>
        <w:t xml:space="preserve">s </w:t>
      </w:r>
      <w:r w:rsidR="009D28A0">
        <w:t xml:space="preserve">agreed </w:t>
      </w:r>
      <w:r w:rsidR="004941A0">
        <w:t>because companies wanted to</w:t>
      </w:r>
      <w:r>
        <w:t xml:space="preserve"> support </w:t>
      </w:r>
      <w:r w:rsidR="0078010B">
        <w:t xml:space="preserve">both </w:t>
      </w:r>
      <w:r w:rsidR="009D28A0">
        <w:t xml:space="preserve">cases </w:t>
      </w:r>
      <w:r w:rsidR="0078010B">
        <w:t xml:space="preserve">for determining the beam indication, </w:t>
      </w:r>
      <w:proofErr w:type="gramStart"/>
      <w:r w:rsidR="0078010B">
        <w:t>i.e.</w:t>
      </w:r>
      <w:proofErr w:type="gramEnd"/>
      <w:r w:rsidR="0078010B">
        <w:t xml:space="preserve"> based on</w:t>
      </w:r>
      <w:r w:rsidR="001A2EF4">
        <w:t xml:space="preserve"> </w:t>
      </w:r>
      <w:r w:rsidR="007C07AD">
        <w:t xml:space="preserve">UE measurements </w:t>
      </w:r>
      <w:r w:rsidR="0078010B">
        <w:t>and</w:t>
      </w:r>
      <w:r w:rsidR="007C07AD">
        <w:t xml:space="preserve"> </w:t>
      </w:r>
      <w:r w:rsidR="001A2EF4">
        <w:t xml:space="preserve">based </w:t>
      </w:r>
      <w:r w:rsidR="007C07AD">
        <w:t>on blind indication</w:t>
      </w:r>
      <w:r w:rsidR="0078010B">
        <w:t>s</w:t>
      </w:r>
      <w:r w:rsidR="007C07AD">
        <w:t>.</w:t>
      </w:r>
      <w:r w:rsidR="00B42257">
        <w:t xml:space="preserve"> </w:t>
      </w:r>
    </w:p>
    <w:p w14:paraId="4E8DF41A" w14:textId="62A19585" w:rsidR="00A61C10" w:rsidRDefault="00B16D98" w:rsidP="00A27208">
      <w:r>
        <w:t>I</w:t>
      </w:r>
      <w:r w:rsidR="00A61C10">
        <w:t>n mobile IAB, the main incentive</w:t>
      </w:r>
      <w:r w:rsidR="006B79B6">
        <w:t xml:space="preserve"> for supporting RACH-less handover </w:t>
      </w:r>
      <w:r w:rsidR="000E13E3">
        <w:t>i</w:t>
      </w:r>
      <w:r w:rsidR="006B79B6">
        <w:t xml:space="preserve">s to minimize the interruption experienced by connected UEs </w:t>
      </w:r>
      <w:r w:rsidR="00593520">
        <w:t>during the full migration procedure</w:t>
      </w:r>
      <w:r>
        <w:t>. However,</w:t>
      </w:r>
      <w:r w:rsidR="00593520">
        <w:t xml:space="preserve"> </w:t>
      </w:r>
      <w:r w:rsidR="0004540A">
        <w:t xml:space="preserve">having </w:t>
      </w:r>
      <w:r w:rsidR="00BF50E8">
        <w:t xml:space="preserve">UEs </w:t>
      </w:r>
      <w:r w:rsidR="00DB3058">
        <w:t xml:space="preserve">measure </w:t>
      </w:r>
      <w:r w:rsidR="00856755">
        <w:t xml:space="preserve">and report </w:t>
      </w:r>
      <w:r w:rsidR="00DB3058">
        <w:t xml:space="preserve">the beams of the target DU cell </w:t>
      </w:r>
      <w:r w:rsidR="00E84446">
        <w:t>would introduce additional delays to the procedure</w:t>
      </w:r>
      <w:r w:rsidR="0004540A">
        <w:t>. Therefore,</w:t>
      </w:r>
      <w:r w:rsidR="001E09BC">
        <w:t xml:space="preserve"> while</w:t>
      </w:r>
      <w:r w:rsidR="0004540A">
        <w:t xml:space="preserve"> the measurement-based approach to beam indications </w:t>
      </w:r>
      <w:r w:rsidR="001E09BC">
        <w:t>was agreed to be supported, in</w:t>
      </w:r>
      <w:r w:rsidR="00A204BD">
        <w:t xml:space="preserve"> may be sub-optimal in general as the added delays/gaps </w:t>
      </w:r>
      <w:r w:rsidR="003D7FB3">
        <w:t>could</w:t>
      </w:r>
      <w:r w:rsidR="008E76D7">
        <w:t xml:space="preserve"> </w:t>
      </w:r>
      <w:r w:rsidR="00856755">
        <w:t>potential</w:t>
      </w:r>
      <w:r w:rsidR="003D7FB3">
        <w:t>ly</w:t>
      </w:r>
      <w:r w:rsidR="00856755">
        <w:t xml:space="preserve"> offset the benefits of adopting a RACH-less approach. </w:t>
      </w:r>
    </w:p>
    <w:p w14:paraId="355EC9D7" w14:textId="74EDE887" w:rsidR="00F172CA" w:rsidRDefault="00F172CA" w:rsidP="00A27208">
      <w:r w:rsidRPr="007165FF">
        <w:rPr>
          <w:b/>
          <w:bCs/>
        </w:rPr>
        <w:t>Observation 1</w:t>
      </w:r>
      <w:r>
        <w:t xml:space="preserve">: </w:t>
      </w:r>
      <w:r w:rsidR="007165FF">
        <w:t>Relying on UE measurements to determine the beam indications introduces additional delays to the RACH-less handover procedure, which could offset the benefits of RACH-less.</w:t>
      </w:r>
    </w:p>
    <w:p w14:paraId="73FC0DD7" w14:textId="1F5EA16A" w:rsidR="00DB62B3" w:rsidRDefault="005A1B6A" w:rsidP="00A27208">
      <w:r>
        <w:t xml:space="preserve">Therefore, for mobile IAB, there </w:t>
      </w:r>
      <w:r w:rsidR="00F930B9">
        <w:t xml:space="preserve">seems to be </w:t>
      </w:r>
      <w:r w:rsidR="00580D24">
        <w:t xml:space="preserve">good incentive to adopt </w:t>
      </w:r>
      <w:r w:rsidR="00A6447F">
        <w:t xml:space="preserve">blind beam indications </w:t>
      </w:r>
      <w:r w:rsidR="00E44A01">
        <w:t>to minimize interruptions and delays for UEs</w:t>
      </w:r>
      <w:r w:rsidR="00DA4863">
        <w:t>.</w:t>
      </w:r>
      <w:r w:rsidR="00E95B38">
        <w:t xml:space="preserve"> However, to support blind beam indications,</w:t>
      </w:r>
      <w:r w:rsidR="00FE29F0">
        <w:t xml:space="preserve"> additional</w:t>
      </w:r>
      <w:r w:rsidR="00E95B38">
        <w:t xml:space="preserve"> aspects </w:t>
      </w:r>
      <w:r w:rsidR="00FE29F0">
        <w:t>need to be considered</w:t>
      </w:r>
      <w:r w:rsidR="00594480">
        <w:t>.</w:t>
      </w:r>
      <w:r w:rsidR="007323C7">
        <w:t xml:space="preserve"> </w:t>
      </w:r>
      <w:r w:rsidR="00594480">
        <w:t>I</w:t>
      </w:r>
      <w:r w:rsidR="00582346">
        <w:t xml:space="preserve">f </w:t>
      </w:r>
      <w:r w:rsidR="00594480">
        <w:t xml:space="preserve">the </w:t>
      </w:r>
      <w:r w:rsidR="00582346">
        <w:t xml:space="preserve">blind indication is </w:t>
      </w:r>
      <w:r w:rsidR="0043409A">
        <w:t xml:space="preserve">completely blind/random </w:t>
      </w:r>
      <w:r w:rsidR="00594480">
        <w:t xml:space="preserve">and </w:t>
      </w:r>
      <w:r w:rsidR="00C52050" w:rsidRPr="00C52050">
        <w:t>if the indication is too granular, it may result in suboptimal beam selection and cause failed RACH-less HO; alternatively, if the indication is not granular enough, it could require the UE to spend time taking more precise measurements to refine the beam selection</w:t>
      </w:r>
      <w:r w:rsidR="00804E64">
        <w:t>, as in the measurement-based approach discussed above</w:t>
      </w:r>
      <w:r w:rsidR="00592C4B">
        <w:t>; in either case</w:t>
      </w:r>
      <w:r w:rsidR="00E32583">
        <w:t xml:space="preserve">, </w:t>
      </w:r>
      <w:r w:rsidR="00FD66F9">
        <w:t>the</w:t>
      </w:r>
      <w:r w:rsidR="00C52050" w:rsidRPr="00C52050">
        <w:t xml:space="preserve"> benefits of </w:t>
      </w:r>
      <w:r w:rsidR="0019075D">
        <w:t>a totally blind approach seem weak compared to just using a normal R</w:t>
      </w:r>
      <w:r w:rsidR="00C52050" w:rsidRPr="00C52050">
        <w:t>ACH</w:t>
      </w:r>
      <w:r w:rsidR="0019075D">
        <w:t>-based handover</w:t>
      </w:r>
      <w:r w:rsidR="00C52050" w:rsidRPr="00C52050">
        <w:t xml:space="preserve"> procedure.</w:t>
      </w:r>
    </w:p>
    <w:p w14:paraId="5D732570" w14:textId="77777777" w:rsidR="005553DC" w:rsidRDefault="00A76349" w:rsidP="00A27208">
      <w:r>
        <w:t>A</w:t>
      </w:r>
      <w:r w:rsidR="00FD66F9">
        <w:t xml:space="preserve"> “smarter” blind handover procedure could </w:t>
      </w:r>
      <w:r w:rsidR="00937B62">
        <w:t xml:space="preserve">possibly be implemented if there is a </w:t>
      </w:r>
      <w:r w:rsidR="00937B62" w:rsidRPr="00F11FC7">
        <w:rPr>
          <w:i/>
          <w:iCs/>
        </w:rPr>
        <w:t xml:space="preserve">known one-to-one </w:t>
      </w:r>
      <w:r w:rsidR="007C2F0E">
        <w:rPr>
          <w:i/>
          <w:iCs/>
        </w:rPr>
        <w:t xml:space="preserve">beam </w:t>
      </w:r>
      <w:r w:rsidR="00F11FC7" w:rsidRPr="00F11FC7">
        <w:rPr>
          <w:i/>
          <w:iCs/>
        </w:rPr>
        <w:t>mapping</w:t>
      </w:r>
      <w:r w:rsidR="00937B62">
        <w:t xml:space="preserve"> between the source and target DU </w:t>
      </w:r>
      <w:r w:rsidR="0051710B">
        <w:t xml:space="preserve">cell </w:t>
      </w:r>
      <w:r w:rsidR="00937B62">
        <w:t>beams</w:t>
      </w:r>
      <w:r w:rsidR="00F11FC7">
        <w:t xml:space="preserve">, </w:t>
      </w:r>
      <w:proofErr w:type="gramStart"/>
      <w:r w:rsidR="00F11FC7">
        <w:t>i.</w:t>
      </w:r>
      <w:r w:rsidR="009E644B">
        <w:t>e.</w:t>
      </w:r>
      <w:proofErr w:type="gramEnd"/>
      <w:r w:rsidR="009E644B">
        <w:t xml:space="preserve"> so that the target </w:t>
      </w:r>
      <w:r w:rsidR="00764438">
        <w:t xml:space="preserve">beam could be known already based on the beam the UE was using in the source cell. </w:t>
      </w:r>
      <w:r w:rsidR="007F224A">
        <w:t xml:space="preserve">In this case, </w:t>
      </w:r>
      <w:r w:rsidR="008F65E0">
        <w:t>the</w:t>
      </w:r>
      <w:r w:rsidR="00507583">
        <w:t xml:space="preserve">re are not any UE issues </w:t>
      </w:r>
      <w:r w:rsidR="008F65E0">
        <w:t>foreseen. However, to support</w:t>
      </w:r>
      <w:r w:rsidR="00507583">
        <w:t xml:space="preserve"> </w:t>
      </w:r>
      <w:r w:rsidR="00185D4C">
        <w:t xml:space="preserve">blind handover based on </w:t>
      </w:r>
      <w:r w:rsidR="00AE77C4">
        <w:t xml:space="preserve">beam mapping, </w:t>
      </w:r>
      <w:r w:rsidR="00372676">
        <w:t>it would need to be considered</w:t>
      </w:r>
      <w:r w:rsidR="008733AD">
        <w:t xml:space="preserve"> how the mapping is determined between DUs</w:t>
      </w:r>
      <w:r w:rsidR="00185D4C">
        <w:t>,</w:t>
      </w:r>
      <w:r w:rsidR="008733AD">
        <w:t xml:space="preserve"> and also how the mapping is informed to the source and target donor CUs</w:t>
      </w:r>
      <w:r w:rsidR="00185D4C">
        <w:t xml:space="preserve"> (</w:t>
      </w:r>
      <w:proofErr w:type="gramStart"/>
      <w:r w:rsidR="00185D4C">
        <w:t>i.e.</w:t>
      </w:r>
      <w:proofErr w:type="gramEnd"/>
      <w:r w:rsidR="00185D4C">
        <w:t xml:space="preserve"> in order to </w:t>
      </w:r>
      <w:r w:rsidR="00070491">
        <w:t>select/indicate the</w:t>
      </w:r>
      <w:r w:rsidR="00185D4C">
        <w:t xml:space="preserve"> beam)</w:t>
      </w:r>
      <w:r w:rsidR="008733AD">
        <w:t>.</w:t>
      </w:r>
      <w:r w:rsidR="00E54FBD">
        <w:t xml:space="preserve"> </w:t>
      </w:r>
      <w:r w:rsidR="00BC47B5">
        <w:t xml:space="preserve">How this is </w:t>
      </w:r>
      <w:r w:rsidR="00BC47B5">
        <w:lastRenderedPageBreak/>
        <w:t xml:space="preserve">handled </w:t>
      </w:r>
      <w:r w:rsidR="00503DB9">
        <w:t>c</w:t>
      </w:r>
      <w:r w:rsidR="00BC47B5">
        <w:t xml:space="preserve">ould also depend on whether </w:t>
      </w:r>
      <w:r w:rsidR="00503DB9">
        <w:t xml:space="preserve">the IAB-MT is handed over before or after the DU migration procedure, </w:t>
      </w:r>
      <w:proofErr w:type="gramStart"/>
      <w:r w:rsidR="00503DB9">
        <w:t>and also</w:t>
      </w:r>
      <w:proofErr w:type="gramEnd"/>
      <w:r w:rsidR="00503DB9">
        <w:t xml:space="preserve"> whether the IAB-MT is handed over to </w:t>
      </w:r>
      <w:r w:rsidR="008A32BF">
        <w:t>the</w:t>
      </w:r>
      <w:r w:rsidR="00503DB9">
        <w:t xml:space="preserve"> same or </w:t>
      </w:r>
      <w:r w:rsidR="008A32BF">
        <w:t xml:space="preserve">a </w:t>
      </w:r>
      <w:r w:rsidR="00503DB9">
        <w:t>different CU than the</w:t>
      </w:r>
      <w:r w:rsidR="008A32BF">
        <w:t xml:space="preserve"> one</w:t>
      </w:r>
      <w:r w:rsidR="00503DB9">
        <w:t xml:space="preserve"> </w:t>
      </w:r>
      <w:r w:rsidR="008A32BF">
        <w:t xml:space="preserve">acting as a donor for the </w:t>
      </w:r>
      <w:r w:rsidR="00503DB9">
        <w:t>targ</w:t>
      </w:r>
      <w:r w:rsidR="008A32BF">
        <w:t xml:space="preserve">et DU. </w:t>
      </w:r>
      <w:r w:rsidR="004039BC">
        <w:t>RAN3 would need to be involved</w:t>
      </w:r>
      <w:r w:rsidR="008D791B">
        <w:t>, c</w:t>
      </w:r>
      <w:r w:rsidR="004039BC">
        <w:t xml:space="preserve">onsidering the F1AP and </w:t>
      </w:r>
      <w:proofErr w:type="spellStart"/>
      <w:r w:rsidR="004039BC">
        <w:t>XnAP</w:t>
      </w:r>
      <w:proofErr w:type="spellEnd"/>
      <w:r w:rsidR="004039BC">
        <w:t xml:space="preserve"> enhancements that would need to be specified</w:t>
      </w:r>
      <w:r w:rsidR="008D791B">
        <w:t>.</w:t>
      </w:r>
    </w:p>
    <w:p w14:paraId="278D63CD" w14:textId="77777777" w:rsidR="007472EC" w:rsidRDefault="007472EC" w:rsidP="007472EC">
      <w:r w:rsidRPr="006E7D94">
        <w:rPr>
          <w:b/>
          <w:bCs/>
        </w:rPr>
        <w:t>Observation 2</w:t>
      </w:r>
      <w:r>
        <w:t xml:space="preserve">: For blind beam indications to be effective, there would need to be a known one-to-one </w:t>
      </w:r>
      <w:r w:rsidRPr="00307FE2">
        <w:rPr>
          <w:i/>
          <w:iCs/>
        </w:rPr>
        <w:t>beam</w:t>
      </w:r>
      <w:r>
        <w:t xml:space="preserve"> mapping between the source and target DU cells, which is also informed to the source and target CUs. This would require RAN3 to specify F1AP and </w:t>
      </w:r>
      <w:proofErr w:type="spellStart"/>
      <w:r>
        <w:t>XnAP</w:t>
      </w:r>
      <w:proofErr w:type="spellEnd"/>
      <w:r>
        <w:t xml:space="preserve"> enhancements.</w:t>
      </w:r>
    </w:p>
    <w:p w14:paraId="25702FA0" w14:textId="11D151F9" w:rsidR="005553DC" w:rsidRDefault="005553DC" w:rsidP="005553DC">
      <w:r>
        <w:t xml:space="preserve">Last meeting, some </w:t>
      </w:r>
      <w:r w:rsidR="006F645B">
        <w:t xml:space="preserve">companies </w:t>
      </w:r>
      <w:r>
        <w:t xml:space="preserve">argued that </w:t>
      </w:r>
      <w:r w:rsidR="006F645B">
        <w:t>these issues were</w:t>
      </w:r>
      <w:r>
        <w:t xml:space="preserve"> already </w:t>
      </w:r>
      <w:r w:rsidR="006F645B">
        <w:t>solved by exi</w:t>
      </w:r>
      <w:r w:rsidR="007472EC">
        <w:t>s</w:t>
      </w:r>
      <w:r w:rsidR="006F645B">
        <w:t>ting</w:t>
      </w:r>
      <w:r>
        <w:t xml:space="preserve"> RAN3 agreements related to source-target mapping</w:t>
      </w:r>
      <w:r w:rsidR="00085C25">
        <w:t xml:space="preserve"> (from RAN3#1</w:t>
      </w:r>
      <w:r w:rsidR="00DC3C98">
        <w:t xml:space="preserve">21 report </w:t>
      </w:r>
      <w:hyperlink r:id="rId13" w:history="1">
        <w:r w:rsidR="00DC3C98" w:rsidRPr="00DC3C98">
          <w:rPr>
            <w:rStyle w:val="Hyperlink"/>
          </w:rPr>
          <w:t>R3-235697</w:t>
        </w:r>
      </w:hyperlink>
      <w:r w:rsidR="00085C25">
        <w:t>)</w:t>
      </w:r>
      <w:r w:rsidR="005D6E77">
        <w:t>:</w:t>
      </w:r>
    </w:p>
    <w:p w14:paraId="286C0733" w14:textId="77777777" w:rsidR="007B4C06" w:rsidRDefault="007B4C06" w:rsidP="007B4C06">
      <w:pPr>
        <w:widowControl w:val="0"/>
        <w:pBdr>
          <w:top w:val="single" w:sz="4" w:space="1" w:color="auto"/>
          <w:left w:val="single" w:sz="4" w:space="4" w:color="auto"/>
          <w:bottom w:val="single" w:sz="4" w:space="1" w:color="auto"/>
          <w:right w:val="single" w:sz="4" w:space="4" w:color="auto"/>
        </w:pBdr>
        <w:ind w:left="144" w:hanging="144"/>
        <w:rPr>
          <w:rFonts w:ascii="Arial" w:hAnsi="Arial" w:cs="Arial"/>
          <w:b/>
          <w:bCs/>
          <w:color w:val="008000"/>
          <w:sz w:val="18"/>
          <w:u w:val="single"/>
        </w:rPr>
      </w:pPr>
      <w:r>
        <w:rPr>
          <w:rFonts w:ascii="Arial" w:hAnsi="Arial" w:cs="Arial"/>
          <w:b/>
          <w:bCs/>
          <w:color w:val="008000"/>
          <w:sz w:val="18"/>
          <w:u w:val="single"/>
        </w:rPr>
        <w:t xml:space="preserve">Agreements: </w:t>
      </w:r>
    </w:p>
    <w:p w14:paraId="535D08B1" w14:textId="77777777" w:rsidR="007B4C06" w:rsidRDefault="007B4C06" w:rsidP="007B4C06">
      <w:pPr>
        <w:widowControl w:val="0"/>
        <w:pBdr>
          <w:top w:val="single" w:sz="4" w:space="1" w:color="auto"/>
          <w:left w:val="single" w:sz="4" w:space="4" w:color="auto"/>
          <w:bottom w:val="single" w:sz="4" w:space="1" w:color="auto"/>
          <w:right w:val="single" w:sz="4" w:space="4" w:color="auto"/>
        </w:pBdr>
        <w:ind w:left="144" w:hanging="144"/>
        <w:rPr>
          <w:rFonts w:ascii="Calibri" w:hAnsi="Calibri" w:cs="Calibri"/>
          <w:b/>
          <w:color w:val="008000"/>
          <w:sz w:val="18"/>
          <w:szCs w:val="18"/>
        </w:rPr>
      </w:pPr>
      <w:r>
        <w:rPr>
          <w:rFonts w:ascii="Calibri" w:hAnsi="Calibri" w:cs="Calibri"/>
          <w:b/>
          <w:color w:val="008000"/>
          <w:sz w:val="18"/>
          <w:szCs w:val="18"/>
        </w:rPr>
        <w:t xml:space="preserve">The following WA is turned into an </w:t>
      </w:r>
      <w:proofErr w:type="gramStart"/>
      <w:r>
        <w:rPr>
          <w:rFonts w:ascii="Calibri" w:hAnsi="Calibri" w:cs="Calibri"/>
          <w:b/>
          <w:color w:val="008000"/>
          <w:sz w:val="18"/>
          <w:szCs w:val="18"/>
        </w:rPr>
        <w:t>agreement</w:t>
      </w:r>
      <w:proofErr w:type="gramEnd"/>
    </w:p>
    <w:p w14:paraId="33234DFC" w14:textId="77777777" w:rsidR="007B4C06" w:rsidRDefault="007B4C06" w:rsidP="007B4C06">
      <w:pPr>
        <w:widowControl w:val="0"/>
        <w:pBdr>
          <w:top w:val="single" w:sz="4" w:space="1" w:color="auto"/>
          <w:left w:val="single" w:sz="4" w:space="4" w:color="auto"/>
          <w:bottom w:val="single" w:sz="4" w:space="1" w:color="auto"/>
          <w:right w:val="single" w:sz="4" w:space="4" w:color="auto"/>
        </w:pBdr>
        <w:ind w:left="144" w:hanging="144"/>
        <w:rPr>
          <w:rFonts w:ascii="Calibri" w:hAnsi="Calibri" w:cs="Calibri"/>
          <w:b/>
          <w:color w:val="008000"/>
          <w:sz w:val="18"/>
          <w:szCs w:val="18"/>
        </w:rPr>
      </w:pPr>
      <w:r>
        <w:rPr>
          <w:rFonts w:ascii="Calibri" w:hAnsi="Calibri" w:cs="Calibri"/>
          <w:b/>
          <w:color w:val="008000"/>
          <w:sz w:val="18"/>
          <w:szCs w:val="18"/>
        </w:rPr>
        <w:t xml:space="preserve">“As an enhancement to legacy handovers, the IAB-node may provide to the source DU’s CU a mapping between the source DU’s activated cells and the target DU’s activated cells so that the source DU’s CU can perform handover for the connected UEs. This agreement does not relate to the configuration sharing between two logical collocated </w:t>
      </w:r>
      <w:proofErr w:type="spellStart"/>
      <w:r>
        <w:rPr>
          <w:rFonts w:ascii="Calibri" w:hAnsi="Calibri" w:cs="Calibri"/>
          <w:b/>
          <w:color w:val="008000"/>
          <w:sz w:val="18"/>
          <w:szCs w:val="18"/>
        </w:rPr>
        <w:t>mIAB</w:t>
      </w:r>
      <w:proofErr w:type="spellEnd"/>
      <w:r>
        <w:rPr>
          <w:rFonts w:ascii="Calibri" w:hAnsi="Calibri" w:cs="Calibri"/>
          <w:b/>
          <w:color w:val="008000"/>
          <w:sz w:val="18"/>
          <w:szCs w:val="18"/>
        </w:rPr>
        <w:t>-DUs.”</w:t>
      </w:r>
    </w:p>
    <w:p w14:paraId="36148DE4" w14:textId="23A3D4EE" w:rsidR="00307FE2" w:rsidRDefault="00396B75" w:rsidP="005553DC">
      <w:r>
        <w:t xml:space="preserve">However, our understanding is that the above RAN3 </w:t>
      </w:r>
      <w:r w:rsidRPr="001D232A">
        <w:rPr>
          <w:i/>
          <w:iCs/>
        </w:rPr>
        <w:t xml:space="preserve">agreement only relates </w:t>
      </w:r>
      <w:r w:rsidR="00FA3409" w:rsidRPr="001D232A">
        <w:rPr>
          <w:i/>
          <w:iCs/>
        </w:rPr>
        <w:t>to cell ID mapping</w:t>
      </w:r>
      <w:r w:rsidR="00FA3409">
        <w:t xml:space="preserve">, </w:t>
      </w:r>
      <w:r w:rsidR="00555D9D">
        <w:t xml:space="preserve">whereas the </w:t>
      </w:r>
      <w:r w:rsidR="00555D9D" w:rsidRPr="001D232A">
        <w:rPr>
          <w:i/>
          <w:iCs/>
        </w:rPr>
        <w:t>beam mapping would fall under the configuration sharing</w:t>
      </w:r>
      <w:r w:rsidR="00555D9D">
        <w:t xml:space="preserve"> aspect which is </w:t>
      </w:r>
      <w:r w:rsidR="00EE6E74">
        <w:t>clearly stated to not be covered by the above agreement.</w:t>
      </w:r>
      <w:r w:rsidR="002469CC">
        <w:t xml:space="preserve"> This seems to be confirmed by the </w:t>
      </w:r>
      <w:r w:rsidR="00C73922">
        <w:t>RAN3-</w:t>
      </w:r>
      <w:r w:rsidR="004B786C">
        <w:t xml:space="preserve">agreed text </w:t>
      </w:r>
      <w:r w:rsidR="00C73922">
        <w:t>in</w:t>
      </w:r>
      <w:r w:rsidR="004B786C">
        <w:t xml:space="preserve"> the Mobile IAB </w:t>
      </w:r>
      <w:r w:rsidR="008C4637">
        <w:t>running</w:t>
      </w:r>
      <w:r w:rsidR="002469CC">
        <w:t xml:space="preserve"> CR for </w:t>
      </w:r>
      <w:r w:rsidR="008B5D67">
        <w:t>TS 38.473 (F1AP</w:t>
      </w:r>
      <w:r w:rsidR="004B786C">
        <w:t xml:space="preserve"> spec</w:t>
      </w:r>
      <w:r w:rsidR="008B5D67">
        <w:t>)</w:t>
      </w:r>
      <w:r w:rsidR="004B786C">
        <w:t xml:space="preserve"> (see </w:t>
      </w:r>
      <w:r w:rsidR="00DC49DE">
        <w:t>A</w:t>
      </w:r>
      <w:r w:rsidR="004B786C">
        <w:t>nnex).</w:t>
      </w:r>
    </w:p>
    <w:p w14:paraId="1DC5D284" w14:textId="738EF030" w:rsidR="008A13F3" w:rsidRDefault="00A057C1" w:rsidP="005553DC">
      <w:r>
        <w:t>So far</w:t>
      </w:r>
      <w:r w:rsidR="009D6DFD">
        <w:t xml:space="preserve">, </w:t>
      </w:r>
      <w:r w:rsidR="0022795C">
        <w:t xml:space="preserve">RAN2 </w:t>
      </w:r>
      <w:r w:rsidR="000820E2">
        <w:t xml:space="preserve">has not made any strong assumption </w:t>
      </w:r>
      <w:r w:rsidR="002E7F74">
        <w:t>that</w:t>
      </w:r>
      <w:r w:rsidR="000820E2">
        <w:t xml:space="preserve"> </w:t>
      </w:r>
      <w:r w:rsidR="002E7F74">
        <w:t xml:space="preserve">the source and target cells have “similar” </w:t>
      </w:r>
      <w:r w:rsidR="002A34BD">
        <w:t xml:space="preserve">beam </w:t>
      </w:r>
      <w:r w:rsidR="002E7F74">
        <w:t>configurations</w:t>
      </w:r>
      <w:r w:rsidR="008602B8">
        <w:t xml:space="preserve">; </w:t>
      </w:r>
      <w:r>
        <w:t>indeed</w:t>
      </w:r>
      <w:r w:rsidR="002E7F74">
        <w:t>,</w:t>
      </w:r>
      <w:r w:rsidR="00021E23">
        <w:t xml:space="preserve"> it was agreed at RAN2#119bis that the</w:t>
      </w:r>
      <w:r w:rsidR="00725D3E">
        <w:t xml:space="preserve"> source/target DU</w:t>
      </w:r>
      <w:r w:rsidR="00021E23">
        <w:t xml:space="preserve"> </w:t>
      </w:r>
      <w:r w:rsidR="009D6DFD">
        <w:t xml:space="preserve">cells </w:t>
      </w:r>
      <w:r>
        <w:t>use</w:t>
      </w:r>
      <w:r w:rsidR="009D6DFD">
        <w:t xml:space="preserve"> different physical resources,</w:t>
      </w:r>
      <w:r w:rsidR="0022795C">
        <w:t xml:space="preserve"> </w:t>
      </w:r>
      <w:r w:rsidR="008602B8">
        <w:t>meaning that the cells could use different carriers</w:t>
      </w:r>
      <w:r w:rsidR="00725D3E">
        <w:t xml:space="preserve"> and, hence, their beam characteristics could be different.</w:t>
      </w:r>
      <w:r w:rsidR="00590247">
        <w:t xml:space="preserve"> Thus, we cannot assume in general th</w:t>
      </w:r>
      <w:r w:rsidR="00AD1947">
        <w:t xml:space="preserve">at a known source-target cell ID mapping would imply any known beam correspondence between the cells. </w:t>
      </w:r>
    </w:p>
    <w:p w14:paraId="723EB1AE" w14:textId="0A0B4271" w:rsidR="00D14C75" w:rsidRPr="00D14C75" w:rsidRDefault="00D14C75" w:rsidP="005553DC">
      <w:r w:rsidRPr="00247B10">
        <w:rPr>
          <w:b/>
          <w:bCs/>
        </w:rPr>
        <w:t>Observation 3</w:t>
      </w:r>
      <w:r>
        <w:t>: RAN3 only agreed to support cell ID mapping between source and target cells and beam-level configuration mapping does not appear to be supported in RAN3 (at least not in general).</w:t>
      </w:r>
    </w:p>
    <w:p w14:paraId="4987AC62" w14:textId="32D00AE5" w:rsidR="00307FE2" w:rsidRDefault="002F79C7" w:rsidP="005553DC">
      <w:r w:rsidRPr="00247B10">
        <w:rPr>
          <w:b/>
          <w:bCs/>
        </w:rPr>
        <w:t xml:space="preserve">Observation </w:t>
      </w:r>
      <w:r w:rsidR="00203E6C">
        <w:rPr>
          <w:b/>
          <w:bCs/>
        </w:rPr>
        <w:t>4</w:t>
      </w:r>
      <w:r>
        <w:t xml:space="preserve">: </w:t>
      </w:r>
      <w:r w:rsidR="00A31F08">
        <w:t>In general, beam correspondence cannot be assumed to be known based on source-target cell ID mapping alone.</w:t>
      </w:r>
    </w:p>
    <w:p w14:paraId="56B94A92" w14:textId="09BD6598" w:rsidR="00663F73" w:rsidRDefault="00663F73" w:rsidP="00A27208">
      <w:r>
        <w:t xml:space="preserve">Therefore, </w:t>
      </w:r>
      <w:r w:rsidR="0096234B">
        <w:t xml:space="preserve">RAN2 should clarify </w:t>
      </w:r>
      <w:r w:rsidR="00D52893">
        <w:t>if</w:t>
      </w:r>
      <w:r w:rsidR="0096234B">
        <w:t xml:space="preserve"> RAN3</w:t>
      </w:r>
      <w:r w:rsidR="00D52893">
        <w:t xml:space="preserve"> supports beam </w:t>
      </w:r>
      <w:r w:rsidR="001B13BE">
        <w:t>mapping</w:t>
      </w:r>
      <w:r w:rsidR="0096234B">
        <w:t xml:space="preserve">, since it </w:t>
      </w:r>
      <w:r w:rsidR="008412C3">
        <w:t xml:space="preserve">impacts whether blind beam indications </w:t>
      </w:r>
      <w:r w:rsidR="00761461">
        <w:t>can be</w:t>
      </w:r>
      <w:r w:rsidR="008412C3">
        <w:t xml:space="preserve"> supported for RACH-less handover.</w:t>
      </w:r>
    </w:p>
    <w:p w14:paraId="4917A06A" w14:textId="771DCCEE" w:rsidR="00A27208" w:rsidRDefault="007F56A0" w:rsidP="00A27208">
      <w:r>
        <w:rPr>
          <w:b/>
          <w:bCs/>
        </w:rPr>
        <w:t xml:space="preserve">Proposal 1: </w:t>
      </w:r>
      <w:r w:rsidRPr="007F56A0">
        <w:t xml:space="preserve">RAN2 should </w:t>
      </w:r>
      <w:r w:rsidR="00545234">
        <w:t>clarify w</w:t>
      </w:r>
      <w:r w:rsidR="00CF5768">
        <w:t>ith RAN3 whether beam-level mapping between source and target cells is currently supported</w:t>
      </w:r>
      <w:r w:rsidR="005171EF">
        <w:t>.</w:t>
      </w:r>
    </w:p>
    <w:p w14:paraId="5982B445" w14:textId="33D516DA" w:rsidR="009339CB" w:rsidRPr="006E13D1" w:rsidRDefault="009339CB" w:rsidP="009339CB">
      <w:pPr>
        <w:pStyle w:val="Heading2"/>
      </w:pPr>
      <w:r>
        <w:t>2</w:t>
      </w:r>
      <w:r w:rsidRPr="006E13D1">
        <w:t>.</w:t>
      </w:r>
      <w:r w:rsidR="00B4349D">
        <w:t>2</w:t>
      </w:r>
      <w:r w:rsidRPr="006E13D1">
        <w:tab/>
      </w:r>
      <w:r w:rsidR="001D17F0">
        <w:t>Conditional handover of on-board UEs</w:t>
      </w:r>
    </w:p>
    <w:p w14:paraId="2C10437F" w14:textId="77777777" w:rsidR="00C7619B" w:rsidRDefault="00C7619B" w:rsidP="00C7619B">
      <w:r>
        <w:t>Earlier there were concerns that the full migration scenario could cause problems in the way of unwanted signalling storms or handover failures due to many on-board UEs being handed over from source to target logical DU in parallel with the IAB-MT handover.</w:t>
      </w:r>
    </w:p>
    <w:p w14:paraId="06FA18E9" w14:textId="77777777" w:rsidR="00C7619B" w:rsidRDefault="00C7619B" w:rsidP="00C7619B">
      <w:r>
        <w:t xml:space="preserve">RAN2 considered several options for handover of on-board UEs in this scenario. One way to reduce too many handovers being triggered simultaneously is </w:t>
      </w:r>
      <w:proofErr w:type="gramStart"/>
      <w:r>
        <w:t>through the use of</w:t>
      </w:r>
      <w:proofErr w:type="gramEnd"/>
      <w:r>
        <w:t xml:space="preserve"> CHO (supported by Rel-16 UEs and later). Furthermore, in RAN2#121bis, it was discussed whether </w:t>
      </w:r>
      <w:proofErr w:type="spellStart"/>
      <w:r>
        <w:t>CondEvent</w:t>
      </w:r>
      <w:proofErr w:type="spellEnd"/>
      <w:r>
        <w:t xml:space="preserve"> T1 (defined in Rel-17 for NTN-capable UEs) could be extended to Rel-18 TN UEs on-board a </w:t>
      </w:r>
      <w:proofErr w:type="spellStart"/>
      <w:r>
        <w:t>mIAB</w:t>
      </w:r>
      <w:proofErr w:type="spellEnd"/>
      <w:r>
        <w:t xml:space="preserve"> node to “spread out” the handover based on a timer.</w:t>
      </w:r>
    </w:p>
    <w:p w14:paraId="439A57D8" w14:textId="77777777" w:rsidR="00C7619B" w:rsidRPr="00F331D7" w:rsidRDefault="00C7619B" w:rsidP="00C7619B">
      <w:pPr>
        <w:pStyle w:val="Agreement"/>
        <w:pBdr>
          <w:top w:val="single" w:sz="4" w:space="1" w:color="auto"/>
          <w:left w:val="single" w:sz="4" w:space="4" w:color="auto"/>
          <w:bottom w:val="single" w:sz="4" w:space="1" w:color="auto"/>
          <w:right w:val="single" w:sz="4" w:space="4" w:color="auto"/>
        </w:pBdr>
        <w:tabs>
          <w:tab w:val="num" w:pos="1106"/>
        </w:tabs>
        <w:spacing w:before="0" w:after="180"/>
        <w:ind w:left="357" w:hanging="357"/>
      </w:pPr>
      <w:r w:rsidRPr="00F331D7">
        <w:t xml:space="preserve">FFS: May support CHO with CondT1 if it is “for free”, </w:t>
      </w:r>
      <w:proofErr w:type="gramStart"/>
      <w:r w:rsidRPr="00F331D7">
        <w:t>i.e.</w:t>
      </w:r>
      <w:proofErr w:type="gramEnd"/>
      <w:r w:rsidRPr="00F331D7">
        <w:t xml:space="preserve"> if TS impact is just to slightly modify the description to make it also applicable to TN.</w:t>
      </w:r>
    </w:p>
    <w:p w14:paraId="1328D1F6" w14:textId="77777777" w:rsidR="00C7619B" w:rsidRDefault="00C7619B" w:rsidP="00C7619B">
      <w:pPr>
        <w:rPr>
          <w:rFonts w:eastAsia="MS PGothic" w:cs="Arial"/>
          <w:szCs w:val="18"/>
        </w:rPr>
      </w:pPr>
      <w:proofErr w:type="spellStart"/>
      <w:r>
        <w:t>CondEvent</w:t>
      </w:r>
      <w:proofErr w:type="spellEnd"/>
      <w:r>
        <w:t xml:space="preserve"> T1 is triggered when a configured threshold </w:t>
      </w:r>
      <w:r>
        <w:rPr>
          <w:i/>
          <w:iCs/>
        </w:rPr>
        <w:t>t1-threshold</w:t>
      </w:r>
      <w:r>
        <w:t xml:space="preserve"> (defined as a specific UTC time in 10ms) has elapsed. </w:t>
      </w:r>
      <w:proofErr w:type="spellStart"/>
      <w:r>
        <w:t>CondEvent</w:t>
      </w:r>
      <w:proofErr w:type="spellEnd"/>
      <w:r>
        <w:t xml:space="preserve"> T1 is currently only applicable to NTN-capable UEs supporting the capability</w:t>
      </w:r>
      <w:r w:rsidRPr="003655D5">
        <w:t xml:space="preserve"> </w:t>
      </w:r>
      <w:r w:rsidRPr="003655D5">
        <w:rPr>
          <w:i/>
          <w:iCs/>
        </w:rPr>
        <w:t>timeBasedCondHandover-r17</w:t>
      </w:r>
      <w:r>
        <w:t xml:space="preserve">. However, considering that legacy UEs can already determine the current UTC time from the </w:t>
      </w:r>
      <w:proofErr w:type="spellStart"/>
      <w:r w:rsidRPr="00CE57C5">
        <w:rPr>
          <w:i/>
          <w:iCs/>
        </w:rPr>
        <w:t>timeInfoUTC</w:t>
      </w:r>
      <w:proofErr w:type="spellEnd"/>
      <w:r>
        <w:t xml:space="preserve"> field broadcasted in SIB9, it seems likely that there are no inherent technical issues that would prevent TN UEs from supporting this capability. Indeed, for Rel-18 TN UEs to support </w:t>
      </w:r>
      <w:proofErr w:type="spellStart"/>
      <w:r>
        <w:t>CondEvent</w:t>
      </w:r>
      <w:proofErr w:type="spellEnd"/>
      <w:r>
        <w:t xml:space="preserve"> T1, our understanding is that the required specification work within RAN2 would only be to remove certain restrictions (</w:t>
      </w:r>
      <w:proofErr w:type="gramStart"/>
      <w:r>
        <w:t>e.g.</w:t>
      </w:r>
      <w:proofErr w:type="gramEnd"/>
      <w:r>
        <w:t xml:space="preserve"> in 38.306, 38.331) that currently limit this feature/capability to NTN UEs.</w:t>
      </w:r>
    </w:p>
    <w:p w14:paraId="200B91B4" w14:textId="54FB4F28" w:rsidR="00C7619B" w:rsidRPr="00D63409" w:rsidRDefault="00C7619B" w:rsidP="00C7619B">
      <w:r w:rsidRPr="00995348">
        <w:rPr>
          <w:b/>
          <w:bCs/>
        </w:rPr>
        <w:t xml:space="preserve">Observation </w:t>
      </w:r>
      <w:r w:rsidR="00112531">
        <w:rPr>
          <w:b/>
          <w:bCs/>
        </w:rPr>
        <w:t>3</w:t>
      </w:r>
      <w:r>
        <w:t xml:space="preserve">: Rel-18 TN UEs can likely support </w:t>
      </w:r>
      <w:proofErr w:type="spellStart"/>
      <w:r>
        <w:t>CondEvent</w:t>
      </w:r>
      <w:proofErr w:type="spellEnd"/>
      <w:r>
        <w:t xml:space="preserve"> T1 with small specification effort within RAN2.</w:t>
      </w:r>
    </w:p>
    <w:p w14:paraId="76E156DE" w14:textId="77777777" w:rsidR="00C7619B" w:rsidRDefault="00C7619B" w:rsidP="00C7619B">
      <w:pPr>
        <w:rPr>
          <w:rFonts w:eastAsia="MS PGothic" w:cs="Arial"/>
          <w:szCs w:val="18"/>
        </w:rPr>
      </w:pPr>
      <w:r>
        <w:rPr>
          <w:rFonts w:eastAsia="MS PGothic" w:cs="Arial"/>
          <w:szCs w:val="18"/>
        </w:rPr>
        <w:lastRenderedPageBreak/>
        <w:t xml:space="preserve">On the other hand, in the </w:t>
      </w:r>
      <w:proofErr w:type="spellStart"/>
      <w:r>
        <w:rPr>
          <w:rFonts w:eastAsia="MS PGothic" w:cs="Arial"/>
          <w:szCs w:val="18"/>
        </w:rPr>
        <w:t>mIAB</w:t>
      </w:r>
      <w:proofErr w:type="spellEnd"/>
      <w:r>
        <w:rPr>
          <w:rFonts w:eastAsia="MS PGothic" w:cs="Arial"/>
          <w:szCs w:val="18"/>
        </w:rPr>
        <w:t xml:space="preserve"> context, the overall benefit from Rel-18 TN UEs supporting </w:t>
      </w:r>
      <w:proofErr w:type="spellStart"/>
      <w:r>
        <w:rPr>
          <w:rFonts w:eastAsia="MS PGothic" w:cs="Arial"/>
          <w:szCs w:val="18"/>
        </w:rPr>
        <w:t>CondEvent</w:t>
      </w:r>
      <w:proofErr w:type="spellEnd"/>
      <w:r>
        <w:rPr>
          <w:rFonts w:eastAsia="MS PGothic" w:cs="Arial"/>
          <w:szCs w:val="18"/>
        </w:rPr>
        <w:t xml:space="preserve"> T1 could be quite small. Recalling why CHO was originally discussed in this context, the purpose was to minimize signalling storms and/or connection failures associated with simultaneous handovers of connected UEs during full migration.</w:t>
      </w:r>
    </w:p>
    <w:p w14:paraId="3DCE707E" w14:textId="77777777" w:rsidR="00C7619B" w:rsidRDefault="00C7619B" w:rsidP="00C7619B">
      <w:pPr>
        <w:rPr>
          <w:rFonts w:eastAsia="MS PGothic" w:cs="Arial"/>
          <w:szCs w:val="18"/>
        </w:rPr>
      </w:pPr>
      <w:r>
        <w:rPr>
          <w:rFonts w:eastAsia="MS PGothic" w:cs="Arial"/>
          <w:szCs w:val="18"/>
        </w:rPr>
        <w:t>However, in RAN2#119bis, it was agreed (</w:t>
      </w:r>
      <w:hyperlink r:id="rId14" w:history="1">
        <w:r w:rsidRPr="00811098">
          <w:rPr>
            <w:rStyle w:val="Hyperlink"/>
            <w:rFonts w:eastAsia="MS PGothic" w:cs="Arial"/>
            <w:szCs w:val="18"/>
          </w:rPr>
          <w:t>R2-2211101</w:t>
        </w:r>
      </w:hyperlink>
      <w:r>
        <w:rPr>
          <w:rFonts w:eastAsia="MS PGothic" w:cs="Arial"/>
          <w:szCs w:val="18"/>
        </w:rPr>
        <w:t>):</w:t>
      </w:r>
    </w:p>
    <w:p w14:paraId="33BE76B4" w14:textId="77777777" w:rsidR="00C7619B" w:rsidRPr="00341B7C" w:rsidRDefault="00C7619B" w:rsidP="00C7619B">
      <w:pPr>
        <w:pStyle w:val="Agreement"/>
        <w:pBdr>
          <w:top w:val="single" w:sz="4" w:space="1" w:color="auto"/>
          <w:left w:val="single" w:sz="4" w:space="4" w:color="auto"/>
          <w:bottom w:val="single" w:sz="4" w:space="1" w:color="auto"/>
          <w:right w:val="single" w:sz="4" w:space="4" w:color="auto"/>
        </w:pBdr>
        <w:tabs>
          <w:tab w:val="num" w:pos="1106"/>
        </w:tabs>
        <w:spacing w:before="0" w:after="180"/>
        <w:ind w:left="357" w:hanging="357"/>
      </w:pPr>
      <w:r w:rsidRPr="00341B7C">
        <w:t xml:space="preserve">RAN2 focuses on the scenario where, during full migration, the UE sees the </w:t>
      </w:r>
      <w:r w:rsidRPr="00341B7C">
        <w:rPr>
          <w:rFonts w:cstheme="minorHAnsi"/>
        </w:rPr>
        <w:t>two logical DU cells as different physical cells (</w:t>
      </w:r>
      <w:proofErr w:type="gramStart"/>
      <w:r w:rsidRPr="00341B7C">
        <w:rPr>
          <w:rFonts w:cstheme="minorHAnsi"/>
        </w:rPr>
        <w:t>e.g.</w:t>
      </w:r>
      <w:proofErr w:type="gramEnd"/>
      <w:r w:rsidRPr="00341B7C">
        <w:rPr>
          <w:rFonts w:cstheme="minorHAnsi"/>
        </w:rPr>
        <w:t xml:space="preserve"> with different PCI if same carrier), and where the two logical DU cells use separate physical resources (i.e., different carriers, or orthogonal time and frequency resources of the same carrier, as supported by legacy L1).</w:t>
      </w:r>
    </w:p>
    <w:p w14:paraId="2CDCA491" w14:textId="77777777" w:rsidR="00C7619B" w:rsidRDefault="00C7619B" w:rsidP="00C7619B">
      <w:pPr>
        <w:rPr>
          <w:rFonts w:eastAsia="MS PGothic" w:cs="Arial"/>
          <w:szCs w:val="18"/>
        </w:rPr>
      </w:pPr>
      <w:r>
        <w:rPr>
          <w:rFonts w:eastAsia="MS PGothic" w:cs="Arial"/>
          <w:szCs w:val="18"/>
        </w:rPr>
        <w:t xml:space="preserve">And, in RAN3#119 it was agreed </w:t>
      </w:r>
      <w:hyperlink r:id="rId15" w:history="1">
        <w:r w:rsidRPr="00811098">
          <w:rPr>
            <w:rStyle w:val="Hyperlink"/>
            <w:rFonts w:eastAsia="MS PGothic" w:cs="Arial"/>
            <w:szCs w:val="18"/>
          </w:rPr>
          <w:t>(R3-231101</w:t>
        </w:r>
      </w:hyperlink>
      <w:r>
        <w:rPr>
          <w:rFonts w:eastAsia="MS PGothic" w:cs="Arial"/>
          <w:szCs w:val="18"/>
        </w:rPr>
        <w:t>):</w:t>
      </w:r>
    </w:p>
    <w:p w14:paraId="27A22BF7" w14:textId="77777777" w:rsidR="00C7619B" w:rsidRDefault="00C7619B" w:rsidP="00C7619B">
      <w:pPr>
        <w:widowControl w:val="0"/>
        <w:pBdr>
          <w:top w:val="single" w:sz="4" w:space="1" w:color="auto"/>
          <w:left w:val="single" w:sz="4" w:space="4" w:color="auto"/>
          <w:bottom w:val="single" w:sz="4" w:space="1" w:color="auto"/>
          <w:right w:val="single" w:sz="4" w:space="4" w:color="auto"/>
        </w:pBdr>
        <w:ind w:left="144" w:hanging="144"/>
        <w:rPr>
          <w:b/>
          <w:color w:val="008000"/>
        </w:rPr>
      </w:pPr>
      <w:r>
        <w:rPr>
          <w:b/>
          <w:bCs/>
          <w:color w:val="007434"/>
          <w:u w:val="single"/>
        </w:rPr>
        <w:t xml:space="preserve">Agreements: </w:t>
      </w:r>
      <w:r>
        <w:rPr>
          <w:b/>
          <w:color w:val="008000"/>
        </w:rPr>
        <w:t xml:space="preserve">The HO of UEs from the source logical </w:t>
      </w:r>
      <w:proofErr w:type="spellStart"/>
      <w:r>
        <w:rPr>
          <w:b/>
          <w:color w:val="008000"/>
        </w:rPr>
        <w:t>mIAB</w:t>
      </w:r>
      <w:proofErr w:type="spellEnd"/>
      <w:r>
        <w:rPr>
          <w:b/>
          <w:color w:val="008000"/>
        </w:rPr>
        <w:t xml:space="preserve">-DU´s CU to the target logical </w:t>
      </w:r>
      <w:proofErr w:type="spellStart"/>
      <w:r>
        <w:rPr>
          <w:b/>
          <w:color w:val="008000"/>
        </w:rPr>
        <w:t>mIAB</w:t>
      </w:r>
      <w:proofErr w:type="spellEnd"/>
      <w:r>
        <w:rPr>
          <w:b/>
          <w:color w:val="008000"/>
        </w:rPr>
        <w:t xml:space="preserve">-DU´s CU should happen after the completion of the F1 setup. When to trigger the HO is up to source logical </w:t>
      </w:r>
      <w:proofErr w:type="spellStart"/>
      <w:r>
        <w:rPr>
          <w:b/>
          <w:color w:val="008000"/>
        </w:rPr>
        <w:t>mIAB</w:t>
      </w:r>
      <w:proofErr w:type="spellEnd"/>
      <w:r>
        <w:rPr>
          <w:b/>
          <w:color w:val="008000"/>
        </w:rPr>
        <w:t>-DU´s CU implementation.</w:t>
      </w:r>
    </w:p>
    <w:p w14:paraId="137D5BAE" w14:textId="77777777" w:rsidR="00C7619B" w:rsidRDefault="00C7619B" w:rsidP="00C7619B">
      <w:pPr>
        <w:rPr>
          <w:rFonts w:eastAsia="MS PGothic" w:cs="Arial"/>
          <w:szCs w:val="18"/>
        </w:rPr>
      </w:pPr>
      <w:r>
        <w:rPr>
          <w:rFonts w:eastAsia="MS PGothic" w:cs="Arial"/>
          <w:szCs w:val="18"/>
        </w:rPr>
        <w:t>Additionally, an earlier agreement from RAN3#117bis states (</w:t>
      </w:r>
      <w:hyperlink r:id="rId16" w:history="1">
        <w:r w:rsidRPr="00325E76">
          <w:rPr>
            <w:rStyle w:val="Hyperlink"/>
            <w:rFonts w:eastAsia="MS PGothic" w:cs="Arial"/>
            <w:szCs w:val="18"/>
          </w:rPr>
          <w:t>R3-226101</w:t>
        </w:r>
      </w:hyperlink>
      <w:r>
        <w:rPr>
          <w:rFonts w:eastAsia="MS PGothic" w:cs="Arial"/>
          <w:szCs w:val="18"/>
        </w:rPr>
        <w:t>):</w:t>
      </w:r>
    </w:p>
    <w:p w14:paraId="4B32D77C" w14:textId="77777777" w:rsidR="00C7619B" w:rsidRDefault="00C7619B" w:rsidP="00C7619B">
      <w:pPr>
        <w:pBdr>
          <w:top w:val="single" w:sz="4" w:space="1" w:color="auto"/>
          <w:left w:val="single" w:sz="4" w:space="4" w:color="auto"/>
          <w:bottom w:val="single" w:sz="4" w:space="1" w:color="auto"/>
          <w:right w:val="single" w:sz="4" w:space="4" w:color="auto"/>
        </w:pBdr>
        <w:rPr>
          <w:rFonts w:eastAsia="MS PGothic" w:cs="Arial"/>
          <w:szCs w:val="18"/>
        </w:rPr>
      </w:pPr>
      <w:proofErr w:type="spellStart"/>
      <w:r>
        <w:rPr>
          <w:b/>
          <w:bCs/>
          <w:color w:val="007434"/>
        </w:rPr>
        <w:t>mIAB</w:t>
      </w:r>
      <w:proofErr w:type="spellEnd"/>
      <w:r>
        <w:rPr>
          <w:b/>
          <w:bCs/>
          <w:color w:val="007434"/>
        </w:rPr>
        <w:t xml:space="preserve">-DU migration and </w:t>
      </w:r>
      <w:proofErr w:type="spellStart"/>
      <w:r>
        <w:rPr>
          <w:b/>
          <w:bCs/>
          <w:color w:val="007434"/>
        </w:rPr>
        <w:t>mIAB</w:t>
      </w:r>
      <w:proofErr w:type="spellEnd"/>
      <w:r>
        <w:rPr>
          <w:b/>
          <w:bCs/>
          <w:color w:val="007434"/>
        </w:rPr>
        <w:t>-MT handover can be executed independently from each other.</w:t>
      </w:r>
    </w:p>
    <w:p w14:paraId="78818F81" w14:textId="77777777" w:rsidR="00C7619B" w:rsidRDefault="00C7619B" w:rsidP="00C7619B">
      <w:pPr>
        <w:rPr>
          <w:rFonts w:eastAsia="MS PGothic" w:cs="Arial"/>
          <w:szCs w:val="18"/>
        </w:rPr>
      </w:pPr>
      <w:r>
        <w:rPr>
          <w:rFonts w:eastAsia="MS PGothic" w:cs="Arial"/>
          <w:szCs w:val="18"/>
        </w:rPr>
        <w:t>These agreements imply that the cells of the source and target logical DUs could be active simultaneously and will be perceived as distinct cells by connected UEs, and further that there is no coupling of the IAB-MT HO with the handover of on-board UEs. Together, these already mitigate the risk of handover failures (at least there is no more risk than inter-CU handover in a stationary network). Furthermore, based on the above agreement from RAN3#119, the source logical DU’s donor CU could “spread out” the handover triggers for different UEs (</w:t>
      </w:r>
      <w:proofErr w:type="gramStart"/>
      <w:r>
        <w:rPr>
          <w:rFonts w:eastAsia="MS PGothic" w:cs="Arial"/>
          <w:szCs w:val="18"/>
        </w:rPr>
        <w:t>i.e.</w:t>
      </w:r>
      <w:proofErr w:type="gramEnd"/>
      <w:r>
        <w:rPr>
          <w:rFonts w:eastAsia="MS PGothic" w:cs="Arial"/>
          <w:szCs w:val="18"/>
        </w:rPr>
        <w:t xml:space="preserve"> to hand UEs over sequentially) in order to minimize signalling storms.</w:t>
      </w:r>
    </w:p>
    <w:p w14:paraId="1D6B3171" w14:textId="5A4F71F8" w:rsidR="00C7619B" w:rsidRDefault="00C7619B" w:rsidP="00C7619B">
      <w:pPr>
        <w:rPr>
          <w:rFonts w:eastAsia="MS PGothic" w:cs="Arial"/>
          <w:szCs w:val="18"/>
        </w:rPr>
      </w:pPr>
      <w:r w:rsidRPr="00387F23">
        <w:rPr>
          <w:rFonts w:eastAsia="MS PGothic" w:cs="Arial"/>
          <w:b/>
          <w:bCs/>
          <w:szCs w:val="18"/>
        </w:rPr>
        <w:t xml:space="preserve">Observation </w:t>
      </w:r>
      <w:r w:rsidR="001B13BE">
        <w:rPr>
          <w:rFonts w:eastAsia="MS PGothic" w:cs="Arial"/>
          <w:b/>
          <w:bCs/>
          <w:szCs w:val="18"/>
        </w:rPr>
        <w:t>5</w:t>
      </w:r>
      <w:r>
        <w:rPr>
          <w:rFonts w:eastAsia="MS PGothic" w:cs="Arial"/>
          <w:szCs w:val="18"/>
        </w:rPr>
        <w:t>: Based on existing agreements in RAN2 and RAN3, signalling storms can already be mitigated during full migration.</w:t>
      </w:r>
    </w:p>
    <w:p w14:paraId="34546CFB" w14:textId="77777777" w:rsidR="00C7619B" w:rsidRDefault="00C7619B" w:rsidP="00C7619B">
      <w:pPr>
        <w:rPr>
          <w:rFonts w:eastAsia="MS PGothic" w:cs="Arial"/>
          <w:szCs w:val="18"/>
        </w:rPr>
      </w:pPr>
      <w:r>
        <w:rPr>
          <w:rFonts w:eastAsia="MS PGothic" w:cs="Arial"/>
          <w:szCs w:val="18"/>
        </w:rPr>
        <w:t xml:space="preserve">Considering the above, the motivation for supporting </w:t>
      </w:r>
      <w:proofErr w:type="spellStart"/>
      <w:r>
        <w:rPr>
          <w:rFonts w:eastAsia="MS PGothic" w:cs="Arial"/>
          <w:szCs w:val="18"/>
        </w:rPr>
        <w:t>CondEvent</w:t>
      </w:r>
      <w:proofErr w:type="spellEnd"/>
      <w:r>
        <w:rPr>
          <w:rFonts w:eastAsia="MS PGothic" w:cs="Arial"/>
          <w:szCs w:val="18"/>
        </w:rPr>
        <w:t xml:space="preserve"> T1 in Rel-18 TN UEs is still not very clear. Even if it is supported, the overall benefit could be quite small anyways since a relatively small number of UEs connected to the mobile IAB node would support it.</w:t>
      </w:r>
    </w:p>
    <w:p w14:paraId="25E5A41D" w14:textId="48BCB0ED" w:rsidR="00C7619B" w:rsidRDefault="00C7619B" w:rsidP="00C7619B">
      <w:pPr>
        <w:rPr>
          <w:rFonts w:eastAsia="MS PGothic" w:cs="Arial"/>
          <w:szCs w:val="18"/>
        </w:rPr>
      </w:pPr>
      <w:r w:rsidRPr="00D15895">
        <w:rPr>
          <w:rFonts w:eastAsia="MS PGothic" w:cs="Arial"/>
          <w:b/>
          <w:bCs/>
          <w:szCs w:val="18"/>
        </w:rPr>
        <w:t xml:space="preserve">Observation </w:t>
      </w:r>
      <w:r w:rsidR="001B13BE">
        <w:rPr>
          <w:rFonts w:eastAsia="MS PGothic" w:cs="Arial"/>
          <w:b/>
          <w:bCs/>
          <w:szCs w:val="18"/>
        </w:rPr>
        <w:t>6</w:t>
      </w:r>
      <w:r>
        <w:rPr>
          <w:rFonts w:eastAsia="MS PGothic" w:cs="Arial"/>
          <w:szCs w:val="18"/>
        </w:rPr>
        <w:t xml:space="preserve">: The overall motivation for and benefit from Rel-18 TN UEs supporting </w:t>
      </w:r>
      <w:proofErr w:type="spellStart"/>
      <w:r>
        <w:rPr>
          <w:rFonts w:eastAsia="MS PGothic" w:cs="Arial"/>
          <w:szCs w:val="18"/>
        </w:rPr>
        <w:t>CondEvent</w:t>
      </w:r>
      <w:proofErr w:type="spellEnd"/>
      <w:r>
        <w:rPr>
          <w:rFonts w:eastAsia="MS PGothic" w:cs="Arial"/>
          <w:szCs w:val="18"/>
        </w:rPr>
        <w:t xml:space="preserve"> T1 is still not very clear.</w:t>
      </w:r>
    </w:p>
    <w:p w14:paraId="73AE01E1" w14:textId="1867E706" w:rsidR="001D093D" w:rsidRDefault="00C7619B" w:rsidP="00C7619B">
      <w:pPr>
        <w:rPr>
          <w:rFonts w:eastAsia="MS PGothic" w:cs="Arial"/>
          <w:szCs w:val="18"/>
        </w:rPr>
      </w:pPr>
      <w:r w:rsidRPr="00E25446">
        <w:rPr>
          <w:rFonts w:eastAsia="MS PGothic" w:cs="Arial"/>
          <w:b/>
          <w:bCs/>
          <w:szCs w:val="18"/>
        </w:rPr>
        <w:t xml:space="preserve">Proposal </w:t>
      </w:r>
      <w:r w:rsidR="00112531">
        <w:rPr>
          <w:rFonts w:eastAsia="MS PGothic" w:cs="Arial"/>
          <w:b/>
          <w:bCs/>
          <w:szCs w:val="18"/>
        </w:rPr>
        <w:t>2</w:t>
      </w:r>
      <w:r w:rsidRPr="00E25446">
        <w:rPr>
          <w:rFonts w:eastAsia="MS PGothic" w:cs="Arial"/>
          <w:b/>
          <w:bCs/>
          <w:szCs w:val="18"/>
        </w:rPr>
        <w:t xml:space="preserve">: </w:t>
      </w:r>
      <w:r w:rsidRPr="001F710D">
        <w:rPr>
          <w:rFonts w:eastAsia="MS PGothic" w:cs="Arial"/>
          <w:szCs w:val="18"/>
        </w:rPr>
        <w:t xml:space="preserve">RAN2 does not agree to support </w:t>
      </w:r>
      <w:proofErr w:type="spellStart"/>
      <w:r w:rsidRPr="001F710D">
        <w:rPr>
          <w:rFonts w:eastAsia="MS PGothic" w:cs="Arial"/>
          <w:szCs w:val="18"/>
        </w:rPr>
        <w:t>CondEvent</w:t>
      </w:r>
      <w:proofErr w:type="spellEnd"/>
      <w:r w:rsidRPr="001F710D">
        <w:rPr>
          <w:rFonts w:eastAsia="MS PGothic" w:cs="Arial"/>
          <w:szCs w:val="18"/>
        </w:rPr>
        <w:t xml:space="preserve"> T1 for Rel-18 TN UEs until benefits are better understood.</w:t>
      </w:r>
    </w:p>
    <w:p w14:paraId="4059980C" w14:textId="341D5430" w:rsidR="00435855" w:rsidRPr="006E13D1" w:rsidRDefault="00435855" w:rsidP="00435855">
      <w:pPr>
        <w:pStyle w:val="Heading2"/>
      </w:pPr>
      <w:r>
        <w:t>2</w:t>
      </w:r>
      <w:r w:rsidRPr="006E13D1">
        <w:t>.</w:t>
      </w:r>
      <w:r>
        <w:t>3</w:t>
      </w:r>
      <w:r w:rsidRPr="006E13D1">
        <w:tab/>
      </w:r>
      <w:r w:rsidR="00794E2F" w:rsidRPr="00AA4AD9">
        <w:t xml:space="preserve">Preventing </w:t>
      </w:r>
      <w:r w:rsidR="003A7DB0">
        <w:t>unnecessary measurements of</w:t>
      </w:r>
      <w:r w:rsidR="00794E2F" w:rsidRPr="00AA4AD9">
        <w:t xml:space="preserve"> mobile</w:t>
      </w:r>
      <w:r w:rsidR="003A7DB0">
        <w:t xml:space="preserve"> </w:t>
      </w:r>
      <w:r w:rsidR="00794E2F" w:rsidRPr="00AA4AD9">
        <w:t xml:space="preserve">IAB </w:t>
      </w:r>
      <w:proofErr w:type="gramStart"/>
      <w:r w:rsidR="00794E2F" w:rsidRPr="00AA4AD9">
        <w:t>cell</w:t>
      </w:r>
      <w:r w:rsidR="003A7DB0">
        <w:t>s</w:t>
      </w:r>
      <w:proofErr w:type="gramEnd"/>
    </w:p>
    <w:p w14:paraId="250DEF9B" w14:textId="77777777" w:rsidR="0009348C" w:rsidRPr="00DF7313" w:rsidRDefault="0009348C" w:rsidP="0009348C">
      <w:r>
        <w:t xml:space="preserve">Earlier, in </w:t>
      </w:r>
      <w:r w:rsidRPr="00DF7313">
        <w:t>RAN2#119</w:t>
      </w:r>
      <w:r>
        <w:t>, it was</w:t>
      </w:r>
      <w:r w:rsidRPr="00DF7313">
        <w:t xml:space="preserve"> agreed:</w:t>
      </w:r>
    </w:p>
    <w:p w14:paraId="22ADC402" w14:textId="77777777" w:rsidR="0009348C" w:rsidRPr="00DF7313" w:rsidRDefault="0009348C" w:rsidP="001945F5">
      <w:pPr>
        <w:pStyle w:val="Agreement"/>
        <w:pBdr>
          <w:top w:val="single" w:sz="4" w:space="1" w:color="auto"/>
          <w:left w:val="single" w:sz="4" w:space="4" w:color="auto"/>
          <w:bottom w:val="single" w:sz="4" w:space="1" w:color="auto"/>
          <w:right w:val="single" w:sz="4" w:space="4" w:color="auto"/>
        </w:pBdr>
        <w:ind w:left="714" w:hanging="357"/>
      </w:pPr>
      <w:r w:rsidRPr="00DF7313">
        <w:t>The method of not broadcasting “</w:t>
      </w:r>
      <w:proofErr w:type="spellStart"/>
      <w:r w:rsidRPr="00DF7313">
        <w:t>iab</w:t>
      </w:r>
      <w:proofErr w:type="spellEnd"/>
      <w:r w:rsidRPr="00DF7313">
        <w:t>-Support” indication, is sufficient to prevent other IAB-node from accessing mobile IAB (without further spec impact).</w:t>
      </w:r>
    </w:p>
    <w:p w14:paraId="1E7A0AD2" w14:textId="62C73DCB" w:rsidR="00C901AA" w:rsidRDefault="0009348C" w:rsidP="0009348C">
      <w:r>
        <w:t xml:space="preserve">We assume that this agreement applies to IAB node integration only. In the context of handover – and particularly with inter-donor handover in mind – this agreement could suggest that before measurement reporting, an IAB node is required to first decode the system information of neighbour cells </w:t>
      </w:r>
      <w:proofErr w:type="gramStart"/>
      <w:r>
        <w:t>in order to</w:t>
      </w:r>
      <w:proofErr w:type="gramEnd"/>
      <w:r>
        <w:t xml:space="preserve"> refrain from reporting cells that are not broadcasting the </w:t>
      </w:r>
      <w:r w:rsidR="0063098A">
        <w:t>“</w:t>
      </w:r>
      <w:proofErr w:type="spellStart"/>
      <w:r w:rsidR="0063098A">
        <w:t>iab</w:t>
      </w:r>
      <w:proofErr w:type="spellEnd"/>
      <w:r w:rsidR="0063098A">
        <w:t xml:space="preserve">-Support” or </w:t>
      </w:r>
      <w:r>
        <w:t>“</w:t>
      </w:r>
      <w:proofErr w:type="spellStart"/>
      <w:r w:rsidR="00892213">
        <w:t>mobileIAB</w:t>
      </w:r>
      <w:proofErr w:type="spellEnd"/>
      <w:r>
        <w:t>-Support” indication</w:t>
      </w:r>
      <w:r w:rsidR="0063098A">
        <w:t>s</w:t>
      </w:r>
      <w:r>
        <w:t>. Such a requirement could introduce extra measurement gaps, which could unnecessarily disrupt the backhaul of the IAB node.</w:t>
      </w:r>
    </w:p>
    <w:p w14:paraId="5C593E0E" w14:textId="59363D27" w:rsidR="00BF5A5F" w:rsidRDefault="000F36B1" w:rsidP="0009348C">
      <w:r w:rsidRPr="00C901AA">
        <w:t xml:space="preserve">Since there could be other ways </w:t>
      </w:r>
      <w:r w:rsidR="0009348C" w:rsidRPr="00C901AA">
        <w:t>to know whether a target cell belongs to a mobile IAB</w:t>
      </w:r>
      <w:r w:rsidR="00C901AA" w:rsidRPr="00C901AA">
        <w:t>, e.g.</w:t>
      </w:r>
      <w:r w:rsidR="0009348C" w:rsidRPr="00C901AA">
        <w:t xml:space="preserve"> based on </w:t>
      </w:r>
      <w:proofErr w:type="spellStart"/>
      <w:r w:rsidR="0009348C" w:rsidRPr="00C901AA">
        <w:t>XnAP</w:t>
      </w:r>
      <w:proofErr w:type="spellEnd"/>
      <w:r w:rsidR="0009348C" w:rsidRPr="00C901AA">
        <w:t xml:space="preserve"> procedures </w:t>
      </w:r>
      <w:r w:rsidR="0009348C" w:rsidRPr="00F33947">
        <w:t>(see</w:t>
      </w:r>
      <w:r w:rsidR="00C901AA" w:rsidRPr="00F33947">
        <w:t xml:space="preserve"> discussion in</w:t>
      </w:r>
      <w:r w:rsidR="0009348C" w:rsidRPr="00F33947">
        <w:t xml:space="preserve"> </w:t>
      </w:r>
      <w:hyperlink r:id="rId17" w:history="1">
        <w:r w:rsidR="00C7442D" w:rsidRPr="00F33947">
          <w:rPr>
            <w:rStyle w:val="Hyperlink"/>
          </w:rPr>
          <w:t>R3-234010</w:t>
        </w:r>
      </w:hyperlink>
      <w:r w:rsidR="00CF1044" w:rsidRPr="00F33947">
        <w:rPr>
          <w:rStyle w:val="Hyperlink"/>
          <w:color w:val="auto"/>
          <w:u w:val="none"/>
        </w:rPr>
        <w:t xml:space="preserve"> Section 4</w:t>
      </w:r>
      <w:r w:rsidR="00C901AA" w:rsidRPr="00F33947">
        <w:t>, for example</w:t>
      </w:r>
      <w:r w:rsidR="0009348C" w:rsidRPr="00F33947">
        <w:t>)</w:t>
      </w:r>
      <w:r w:rsidR="00C901AA" w:rsidRPr="00F33947">
        <w:t>, w</w:t>
      </w:r>
      <w:r w:rsidR="00B93811" w:rsidRPr="00F33947">
        <w:t>e</w:t>
      </w:r>
      <w:r w:rsidR="00B93811" w:rsidRPr="00C901AA">
        <w:t xml:space="preserve"> raised </w:t>
      </w:r>
      <w:r w:rsidR="00B93811">
        <w:t>this issue at RAN2#121bis</w:t>
      </w:r>
      <w:r w:rsidR="000C1DA6">
        <w:t xml:space="preserve"> and proposed that a </w:t>
      </w:r>
      <w:r w:rsidR="007152D9">
        <w:t>mobile IAB</w:t>
      </w:r>
      <w:r w:rsidR="004B3027">
        <w:t xml:space="preserve">-MT </w:t>
      </w:r>
      <w:r w:rsidR="007152D9">
        <w:t xml:space="preserve">should not be required to </w:t>
      </w:r>
      <w:r w:rsidR="007D69E2">
        <w:t>decode</w:t>
      </w:r>
      <w:r w:rsidR="007152D9">
        <w:t xml:space="preserve"> the system information of cells</w:t>
      </w:r>
      <w:r w:rsidR="000F02E9">
        <w:t xml:space="preserve"> </w:t>
      </w:r>
      <w:r w:rsidR="000D4951">
        <w:t xml:space="preserve">so it can </w:t>
      </w:r>
      <w:r w:rsidR="007152D9">
        <w:t>re</w:t>
      </w:r>
      <w:r w:rsidR="004B3027">
        <w:t>frain from reporting measurements of</w:t>
      </w:r>
      <w:r w:rsidR="007A4253">
        <w:t xml:space="preserve"> other mobile IAB</w:t>
      </w:r>
      <w:r w:rsidR="004B3027">
        <w:t xml:space="preserve"> cells</w:t>
      </w:r>
      <w:r w:rsidR="004F776C">
        <w:t xml:space="preserve"> </w:t>
      </w:r>
      <w:r w:rsidR="00755A19">
        <w:t xml:space="preserve">(see </w:t>
      </w:r>
      <w:hyperlink r:id="rId18" w:history="1">
        <w:r w:rsidR="004E23D6" w:rsidRPr="004E23D6">
          <w:rPr>
            <w:rStyle w:val="Hyperlink"/>
          </w:rPr>
          <w:t>R2-2302929</w:t>
        </w:r>
      </w:hyperlink>
      <w:r w:rsidR="004E23D6">
        <w:t>)</w:t>
      </w:r>
      <w:r w:rsidR="000D4951">
        <w:t>; however,</w:t>
      </w:r>
      <w:r w:rsidR="008A072E">
        <w:t xml:space="preserve"> RAN2 made the following assumption:</w:t>
      </w:r>
    </w:p>
    <w:p w14:paraId="66AE825D" w14:textId="77777777" w:rsidR="00BF5A5F" w:rsidRPr="001B13BE" w:rsidRDefault="00BF5A5F" w:rsidP="001945F5">
      <w:pPr>
        <w:numPr>
          <w:ilvl w:val="0"/>
          <w:numId w:val="9"/>
        </w:numPr>
        <w:pBdr>
          <w:top w:val="single" w:sz="4" w:space="1" w:color="auto"/>
          <w:left w:val="single" w:sz="4" w:space="4" w:color="auto"/>
          <w:bottom w:val="single" w:sz="4" w:space="1" w:color="auto"/>
          <w:right w:val="single" w:sz="4" w:space="4" w:color="auto"/>
        </w:pBdr>
        <w:tabs>
          <w:tab w:val="clear" w:pos="3620"/>
          <w:tab w:val="num" w:pos="1352"/>
        </w:tabs>
        <w:ind w:left="714" w:hanging="357"/>
        <w:rPr>
          <w:rFonts w:ascii="Arial" w:hAnsi="Arial" w:cs="Arial"/>
          <w:b/>
          <w:bCs/>
        </w:rPr>
      </w:pPr>
      <w:r w:rsidRPr="001B13BE">
        <w:rPr>
          <w:rFonts w:ascii="Arial" w:hAnsi="Arial" w:cs="Arial"/>
          <w:b/>
          <w:bCs/>
        </w:rPr>
        <w:t>R2 assumes that a mobile IAB node is not required to receive the system information of neighbour cells for reporting of measurements (</w:t>
      </w:r>
      <w:proofErr w:type="gramStart"/>
      <w:r w:rsidRPr="001B13BE">
        <w:rPr>
          <w:rFonts w:ascii="Arial" w:hAnsi="Arial" w:cs="Arial"/>
          <w:b/>
          <w:bCs/>
        </w:rPr>
        <w:t>i.e.</w:t>
      </w:r>
      <w:proofErr w:type="gramEnd"/>
      <w:r w:rsidRPr="001B13BE">
        <w:rPr>
          <w:rFonts w:ascii="Arial" w:hAnsi="Arial" w:cs="Arial"/>
          <w:b/>
          <w:bCs/>
        </w:rPr>
        <w:t xml:space="preserve"> it will not refrain from reporting measurements of cells that are not broadcasting the “mobile </w:t>
      </w:r>
      <w:proofErr w:type="spellStart"/>
      <w:r w:rsidRPr="001B13BE">
        <w:rPr>
          <w:rFonts w:ascii="Arial" w:hAnsi="Arial" w:cs="Arial"/>
          <w:b/>
          <w:bCs/>
        </w:rPr>
        <w:t>iab</w:t>
      </w:r>
      <w:proofErr w:type="spellEnd"/>
      <w:r w:rsidRPr="001B13BE">
        <w:rPr>
          <w:rFonts w:ascii="Arial" w:hAnsi="Arial" w:cs="Arial"/>
          <w:b/>
          <w:bCs/>
        </w:rPr>
        <w:t xml:space="preserve"> Support” indication, and this is </w:t>
      </w:r>
      <w:proofErr w:type="spellStart"/>
      <w:r w:rsidRPr="001B13BE">
        <w:rPr>
          <w:rFonts w:ascii="Arial" w:hAnsi="Arial" w:cs="Arial"/>
          <w:b/>
          <w:bCs/>
        </w:rPr>
        <w:t>acc</w:t>
      </w:r>
      <w:proofErr w:type="spellEnd"/>
      <w:r w:rsidRPr="001B13BE">
        <w:rPr>
          <w:rFonts w:ascii="Arial" w:hAnsi="Arial" w:cs="Arial"/>
          <w:b/>
          <w:bCs/>
        </w:rPr>
        <w:t xml:space="preserve"> to current R2 TS).</w:t>
      </w:r>
    </w:p>
    <w:p w14:paraId="7F454B20" w14:textId="41A48D23" w:rsidR="0009348C" w:rsidRPr="006B7D9F" w:rsidRDefault="00B841D6" w:rsidP="0083571B">
      <w:pPr>
        <w:spacing w:before="240"/>
      </w:pPr>
      <w:r>
        <w:lastRenderedPageBreak/>
        <w:t xml:space="preserve">In our view, the latter part of this assumption, </w:t>
      </w:r>
      <w:proofErr w:type="gramStart"/>
      <w:r w:rsidR="00037F4C">
        <w:t>i.e.</w:t>
      </w:r>
      <w:proofErr w:type="gramEnd"/>
      <w:r w:rsidR="00037F4C">
        <w:t xml:space="preserve"> that</w:t>
      </w:r>
      <w:r w:rsidR="00037F4C" w:rsidRPr="00037F4C">
        <w:t xml:space="preserve"> </w:t>
      </w:r>
      <w:r w:rsidR="00037F4C">
        <w:t xml:space="preserve">a mobile IAB-MT </w:t>
      </w:r>
      <w:r w:rsidR="00037F4C" w:rsidRPr="00037F4C">
        <w:t xml:space="preserve">will not refrain from reporting measurements of cells that are not broadcasting the “mobile </w:t>
      </w:r>
      <w:proofErr w:type="spellStart"/>
      <w:r w:rsidR="00037F4C" w:rsidRPr="00037F4C">
        <w:t>iab</w:t>
      </w:r>
      <w:proofErr w:type="spellEnd"/>
      <w:r w:rsidR="00037F4C" w:rsidRPr="00037F4C">
        <w:t xml:space="preserve"> Support” indication</w:t>
      </w:r>
      <w:r w:rsidR="00037F4C">
        <w:t>, is too strong</w:t>
      </w:r>
      <w:r w:rsidR="0025379A">
        <w:t xml:space="preserve">. For example, </w:t>
      </w:r>
      <w:r w:rsidR="006017F6">
        <w:t>RAN2 should not preclude the scenario where a donor CU</w:t>
      </w:r>
      <w:r w:rsidR="00FC5F1E">
        <w:t xml:space="preserve"> could</w:t>
      </w:r>
      <w:r w:rsidR="006017F6">
        <w:t xml:space="preserve"> </w:t>
      </w:r>
      <w:r w:rsidR="00FB2BE0">
        <w:t xml:space="preserve">configure </w:t>
      </w:r>
      <w:r w:rsidR="00380695">
        <w:t xml:space="preserve">an IAB-MT to </w:t>
      </w:r>
      <w:r w:rsidR="001D30A8">
        <w:t>avoid</w:t>
      </w:r>
      <w:r w:rsidR="00380695">
        <w:t xml:space="preserve"> </w:t>
      </w:r>
      <w:r w:rsidR="001D30A8">
        <w:t xml:space="preserve">taking </w:t>
      </w:r>
      <w:r w:rsidR="00FC5F1E">
        <w:t>measurements of PCIs associated with</w:t>
      </w:r>
      <w:r w:rsidR="00E12FB9">
        <w:t xml:space="preserve"> other</w:t>
      </w:r>
      <w:r w:rsidR="007A4253">
        <w:t xml:space="preserve"> mobile IAB</w:t>
      </w:r>
      <w:r w:rsidR="00233B9B">
        <w:t xml:space="preserve"> cells, </w:t>
      </w:r>
      <w:proofErr w:type="gramStart"/>
      <w:r w:rsidR="00233B9B">
        <w:t>e.g.</w:t>
      </w:r>
      <w:proofErr w:type="gramEnd"/>
      <w:r w:rsidR="00233B9B">
        <w:t xml:space="preserve"> </w:t>
      </w:r>
      <w:r w:rsidR="00E12FB9">
        <w:t>based</w:t>
      </w:r>
      <w:r w:rsidR="006B7D9F">
        <w:t xml:space="preserve"> on the parameter </w:t>
      </w:r>
      <w:proofErr w:type="spellStart"/>
      <w:r w:rsidR="006B7D9F">
        <w:rPr>
          <w:i/>
          <w:iCs/>
        </w:rPr>
        <w:t>MeasObjectNR</w:t>
      </w:r>
      <w:proofErr w:type="spellEnd"/>
      <w:r w:rsidR="006B7D9F">
        <w:rPr>
          <w:i/>
          <w:iCs/>
        </w:rPr>
        <w:t xml:space="preserve"> &gt; </w:t>
      </w:r>
      <w:proofErr w:type="spellStart"/>
      <w:r w:rsidR="006B7D9F">
        <w:rPr>
          <w:i/>
          <w:iCs/>
        </w:rPr>
        <w:t>excludedCellsToAddModList</w:t>
      </w:r>
      <w:proofErr w:type="spellEnd"/>
      <w:r w:rsidR="006B7D9F">
        <w:t>.</w:t>
      </w:r>
      <w:r w:rsidR="00343E0B">
        <w:t xml:space="preserve"> Therefore, RAN2 should clarify the following proposal.</w:t>
      </w:r>
    </w:p>
    <w:p w14:paraId="79B4A3A1" w14:textId="3A432F1B" w:rsidR="00C7619B" w:rsidRPr="0009348C" w:rsidRDefault="0009348C" w:rsidP="00435855">
      <w:r w:rsidRPr="00DF7313">
        <w:rPr>
          <w:b/>
          <w:bCs/>
        </w:rPr>
        <w:t xml:space="preserve">Proposal </w:t>
      </w:r>
      <w:r>
        <w:rPr>
          <w:b/>
          <w:bCs/>
        </w:rPr>
        <w:t>3</w:t>
      </w:r>
      <w:r w:rsidRPr="00DF7313">
        <w:t>:</w:t>
      </w:r>
      <w:r w:rsidRPr="002E4D2B">
        <w:t xml:space="preserve"> </w:t>
      </w:r>
      <w:r w:rsidRPr="00DF7313">
        <w:t xml:space="preserve">An IAB node </w:t>
      </w:r>
      <w:r w:rsidR="0093272B" w:rsidRPr="0093272B">
        <w:t xml:space="preserve">may receive a measurement configuration indicating </w:t>
      </w:r>
      <w:r w:rsidR="0051053C">
        <w:t xml:space="preserve">mobile </w:t>
      </w:r>
      <w:r w:rsidR="0093272B" w:rsidRPr="0093272B">
        <w:t>IAB cells to be excluded from measurement</w:t>
      </w:r>
      <w:r w:rsidR="0051053C">
        <w:t>s</w:t>
      </w:r>
      <w:r w:rsidRPr="00DF7313">
        <w:t>.</w:t>
      </w:r>
    </w:p>
    <w:p w14:paraId="69B7B8E6" w14:textId="69E07FC9" w:rsidR="009339CB" w:rsidRPr="006E13D1" w:rsidRDefault="005A13AB" w:rsidP="009339CB">
      <w:pPr>
        <w:pStyle w:val="Heading1"/>
      </w:pPr>
      <w:r>
        <w:t>3</w:t>
      </w:r>
      <w:r w:rsidR="009339CB" w:rsidRPr="006E13D1">
        <w:tab/>
      </w:r>
      <w:r w:rsidR="009339CB">
        <w:t>Conclusion</w:t>
      </w:r>
    </w:p>
    <w:p w14:paraId="70238E45" w14:textId="77777777" w:rsidR="00E30193" w:rsidRPr="006E13D1" w:rsidRDefault="00E30193" w:rsidP="00E30193">
      <w:r>
        <w:t>This document has made the following observations:</w:t>
      </w:r>
    </w:p>
    <w:p w14:paraId="08800F92" w14:textId="77777777" w:rsidR="001B13BE" w:rsidRDefault="001B13BE" w:rsidP="001B13BE">
      <w:r w:rsidRPr="007165FF">
        <w:rPr>
          <w:b/>
          <w:bCs/>
        </w:rPr>
        <w:t>Observation 1</w:t>
      </w:r>
      <w:r>
        <w:t>: Relying on UE measurements to determine the beam indications introduces additional delays to the RACH-less handover procedure, which could offset the benefits of RACH-less.</w:t>
      </w:r>
    </w:p>
    <w:p w14:paraId="33E20CB0" w14:textId="77777777" w:rsidR="001B13BE" w:rsidRDefault="001B13BE" w:rsidP="001B13BE">
      <w:r w:rsidRPr="006E7D94">
        <w:rPr>
          <w:b/>
          <w:bCs/>
        </w:rPr>
        <w:t>Observation 2</w:t>
      </w:r>
      <w:r>
        <w:t xml:space="preserve">: For blind beam indications to be effective, there would need to be a known one-to-one </w:t>
      </w:r>
      <w:r w:rsidRPr="00307FE2">
        <w:rPr>
          <w:i/>
          <w:iCs/>
        </w:rPr>
        <w:t>beam</w:t>
      </w:r>
      <w:r>
        <w:t xml:space="preserve"> mapping between the source and target DU cells, which is also informed to the source and target CUs. This would require RAN3 to specify F1AP and </w:t>
      </w:r>
      <w:proofErr w:type="spellStart"/>
      <w:r>
        <w:t>XnAP</w:t>
      </w:r>
      <w:proofErr w:type="spellEnd"/>
      <w:r>
        <w:t xml:space="preserve"> enhancements.</w:t>
      </w:r>
    </w:p>
    <w:p w14:paraId="4B7767AB" w14:textId="77777777" w:rsidR="001B13BE" w:rsidRPr="00D14C75" w:rsidRDefault="001B13BE" w:rsidP="001B13BE">
      <w:r w:rsidRPr="00247B10">
        <w:rPr>
          <w:b/>
          <w:bCs/>
        </w:rPr>
        <w:t>Observation 3</w:t>
      </w:r>
      <w:r>
        <w:t>: RAN3 only agreed to support cell ID mapping between source and target cells and beam-level configuration mapping does not appear to be supported in RAN3 (at least not in general).</w:t>
      </w:r>
    </w:p>
    <w:p w14:paraId="3ED0DC92" w14:textId="77777777" w:rsidR="001B13BE" w:rsidRDefault="001B13BE" w:rsidP="001B13BE">
      <w:r w:rsidRPr="00247B10">
        <w:rPr>
          <w:b/>
          <w:bCs/>
        </w:rPr>
        <w:t xml:space="preserve">Observation </w:t>
      </w:r>
      <w:r>
        <w:rPr>
          <w:b/>
          <w:bCs/>
        </w:rPr>
        <w:t>4</w:t>
      </w:r>
      <w:r>
        <w:t>: In general, beam correspondence cannot be assumed to be known based on source-target cell ID mapping alone.</w:t>
      </w:r>
    </w:p>
    <w:p w14:paraId="0E7EB94A" w14:textId="77777777" w:rsidR="001B13BE" w:rsidRDefault="001B13BE" w:rsidP="001B13BE">
      <w:pPr>
        <w:rPr>
          <w:rFonts w:eastAsia="MS PGothic" w:cs="Arial"/>
          <w:szCs w:val="18"/>
        </w:rPr>
      </w:pPr>
      <w:r w:rsidRPr="00387F23">
        <w:rPr>
          <w:rFonts w:eastAsia="MS PGothic" w:cs="Arial"/>
          <w:b/>
          <w:bCs/>
          <w:szCs w:val="18"/>
        </w:rPr>
        <w:t xml:space="preserve">Observation </w:t>
      </w:r>
      <w:r>
        <w:rPr>
          <w:rFonts w:eastAsia="MS PGothic" w:cs="Arial"/>
          <w:b/>
          <w:bCs/>
          <w:szCs w:val="18"/>
        </w:rPr>
        <w:t>5</w:t>
      </w:r>
      <w:r>
        <w:rPr>
          <w:rFonts w:eastAsia="MS PGothic" w:cs="Arial"/>
          <w:szCs w:val="18"/>
        </w:rPr>
        <w:t>: Based on existing agreements in RAN2 and RAN3, signalling storms can already be mitigated during full migration.</w:t>
      </w:r>
    </w:p>
    <w:p w14:paraId="2E96F8B1" w14:textId="77777777" w:rsidR="001B13BE" w:rsidRDefault="001B13BE" w:rsidP="001B13BE">
      <w:pPr>
        <w:rPr>
          <w:rFonts w:eastAsia="MS PGothic" w:cs="Arial"/>
          <w:szCs w:val="18"/>
        </w:rPr>
      </w:pPr>
      <w:r w:rsidRPr="00D15895">
        <w:rPr>
          <w:rFonts w:eastAsia="MS PGothic" w:cs="Arial"/>
          <w:b/>
          <w:bCs/>
          <w:szCs w:val="18"/>
        </w:rPr>
        <w:t xml:space="preserve">Observation </w:t>
      </w:r>
      <w:r>
        <w:rPr>
          <w:rFonts w:eastAsia="MS PGothic" w:cs="Arial"/>
          <w:b/>
          <w:bCs/>
          <w:szCs w:val="18"/>
        </w:rPr>
        <w:t>6</w:t>
      </w:r>
      <w:r>
        <w:rPr>
          <w:rFonts w:eastAsia="MS PGothic" w:cs="Arial"/>
          <w:szCs w:val="18"/>
        </w:rPr>
        <w:t xml:space="preserve">: The overall motivation for and benefit from Rel-18 TN UEs supporting </w:t>
      </w:r>
      <w:proofErr w:type="spellStart"/>
      <w:r>
        <w:rPr>
          <w:rFonts w:eastAsia="MS PGothic" w:cs="Arial"/>
          <w:szCs w:val="18"/>
        </w:rPr>
        <w:t>CondEvent</w:t>
      </w:r>
      <w:proofErr w:type="spellEnd"/>
      <w:r>
        <w:rPr>
          <w:rFonts w:eastAsia="MS PGothic" w:cs="Arial"/>
          <w:szCs w:val="18"/>
        </w:rPr>
        <w:t xml:space="preserve"> T1 is still not very clear.</w:t>
      </w:r>
    </w:p>
    <w:p w14:paraId="3BE72BE2" w14:textId="77777777" w:rsidR="009339CB" w:rsidRPr="004F4540" w:rsidRDefault="009339CB" w:rsidP="009339CB">
      <w:pPr>
        <w:rPr>
          <w:bCs/>
        </w:rPr>
      </w:pPr>
      <w:r>
        <w:rPr>
          <w:bCs/>
        </w:rPr>
        <w:t>And proposed the following:</w:t>
      </w:r>
    </w:p>
    <w:p w14:paraId="3B6688ED" w14:textId="77777777" w:rsidR="001B13BE" w:rsidRDefault="001B13BE" w:rsidP="001B13BE">
      <w:r>
        <w:rPr>
          <w:b/>
          <w:bCs/>
        </w:rPr>
        <w:t xml:space="preserve">Proposal 1: </w:t>
      </w:r>
      <w:r w:rsidRPr="007F56A0">
        <w:t xml:space="preserve">RAN2 should </w:t>
      </w:r>
      <w:r>
        <w:t>clarify with RAN3 whether beam-level mapping between source and target cells is currently supported.</w:t>
      </w:r>
    </w:p>
    <w:p w14:paraId="72828EEB" w14:textId="77777777" w:rsidR="00112531" w:rsidRDefault="00112531" w:rsidP="00112531">
      <w:pPr>
        <w:rPr>
          <w:rFonts w:eastAsia="MS PGothic" w:cs="Arial"/>
          <w:szCs w:val="18"/>
        </w:rPr>
      </w:pPr>
      <w:r w:rsidRPr="00E25446">
        <w:rPr>
          <w:rFonts w:eastAsia="MS PGothic" w:cs="Arial"/>
          <w:b/>
          <w:bCs/>
          <w:szCs w:val="18"/>
        </w:rPr>
        <w:t xml:space="preserve">Proposal </w:t>
      </w:r>
      <w:r>
        <w:rPr>
          <w:rFonts w:eastAsia="MS PGothic" w:cs="Arial"/>
          <w:b/>
          <w:bCs/>
          <w:szCs w:val="18"/>
        </w:rPr>
        <w:t>2</w:t>
      </w:r>
      <w:r w:rsidRPr="00E25446">
        <w:rPr>
          <w:rFonts w:eastAsia="MS PGothic" w:cs="Arial"/>
          <w:b/>
          <w:bCs/>
          <w:szCs w:val="18"/>
        </w:rPr>
        <w:t xml:space="preserve">: </w:t>
      </w:r>
      <w:r w:rsidRPr="001F710D">
        <w:rPr>
          <w:rFonts w:eastAsia="MS PGothic" w:cs="Arial"/>
          <w:szCs w:val="18"/>
        </w:rPr>
        <w:t xml:space="preserve">RAN2 does not agree to support </w:t>
      </w:r>
      <w:proofErr w:type="spellStart"/>
      <w:r w:rsidRPr="001F710D">
        <w:rPr>
          <w:rFonts w:eastAsia="MS PGothic" w:cs="Arial"/>
          <w:szCs w:val="18"/>
        </w:rPr>
        <w:t>CondEvent</w:t>
      </w:r>
      <w:proofErr w:type="spellEnd"/>
      <w:r w:rsidRPr="001F710D">
        <w:rPr>
          <w:rFonts w:eastAsia="MS PGothic" w:cs="Arial"/>
          <w:szCs w:val="18"/>
        </w:rPr>
        <w:t xml:space="preserve"> T1 for Rel-18 TN UEs until benefits are better understood.</w:t>
      </w:r>
    </w:p>
    <w:p w14:paraId="35F222F4" w14:textId="379C9646" w:rsidR="00080512" w:rsidRDefault="00112531" w:rsidP="00BC4480">
      <w:r w:rsidRPr="00DF7313">
        <w:rPr>
          <w:b/>
          <w:bCs/>
        </w:rPr>
        <w:t xml:space="preserve">Proposal </w:t>
      </w:r>
      <w:r>
        <w:rPr>
          <w:b/>
          <w:bCs/>
        </w:rPr>
        <w:t>3</w:t>
      </w:r>
      <w:r w:rsidRPr="00DF7313">
        <w:t>:</w:t>
      </w:r>
      <w:r w:rsidRPr="002E4D2B">
        <w:t xml:space="preserve"> </w:t>
      </w:r>
      <w:r w:rsidRPr="00DF7313">
        <w:t xml:space="preserve">An IAB node </w:t>
      </w:r>
      <w:r w:rsidRPr="0093272B">
        <w:t xml:space="preserve">may receive a measurement configuration indicating </w:t>
      </w:r>
      <w:r>
        <w:t xml:space="preserve">mobile </w:t>
      </w:r>
      <w:r w:rsidRPr="0093272B">
        <w:t>IAB cells to be excluded from measurement</w:t>
      </w:r>
      <w:r>
        <w:t>s</w:t>
      </w:r>
      <w:r w:rsidRPr="00DF7313">
        <w:t>.</w:t>
      </w:r>
    </w:p>
    <w:p w14:paraId="2CFF0C83" w14:textId="51A9D9A0" w:rsidR="00DC49DE" w:rsidRPr="006E13D1" w:rsidRDefault="00DC49DE" w:rsidP="00DC49DE">
      <w:pPr>
        <w:pStyle w:val="Heading1"/>
      </w:pPr>
      <w:r>
        <w:t>Annex</w:t>
      </w:r>
    </w:p>
    <w:p w14:paraId="5E884655" w14:textId="4FAAF277" w:rsidR="00DC49DE" w:rsidRDefault="00DC49DE" w:rsidP="00DC49DE">
      <w:r>
        <w:t>Th</w:t>
      </w:r>
      <w:r w:rsidR="003177D7">
        <w:t>e following text is from the running CR for TS 38.473 (F1AP spec)</w:t>
      </w:r>
      <w:r w:rsidR="005D5A95">
        <w:t xml:space="preserve"> </w:t>
      </w:r>
      <w:r w:rsidR="00D9786B">
        <w:t>[</w:t>
      </w:r>
      <w:hyperlink r:id="rId19" w:history="1">
        <w:r w:rsidR="003177D7" w:rsidRPr="003177D7">
          <w:rPr>
            <w:rStyle w:val="Hyperlink"/>
          </w:rPr>
          <w:t>R3-235977</w:t>
        </w:r>
      </w:hyperlink>
      <w:r w:rsidR="00D9786B">
        <w:t>]</w:t>
      </w:r>
      <w:r w:rsidR="003177D7">
        <w:t>, w</w:t>
      </w:r>
      <w:r w:rsidR="005D5A95">
        <w:t>hich was</w:t>
      </w:r>
      <w:r w:rsidR="003177D7">
        <w:t xml:space="preserve"> endorse</w:t>
      </w:r>
      <w:r w:rsidR="005D5A95">
        <w:t>d at RAN3#121-bis.</w:t>
      </w:r>
      <w:r w:rsidR="00A70B22">
        <w:t xml:space="preserve"> </w:t>
      </w:r>
      <w:r w:rsidR="00EF50F4" w:rsidRPr="003619B8">
        <w:rPr>
          <w:highlight w:val="yellow"/>
        </w:rPr>
        <w:t xml:space="preserve">The highlighted </w:t>
      </w:r>
      <w:r w:rsidR="00C73922" w:rsidRPr="003619B8">
        <w:rPr>
          <w:highlight w:val="yellow"/>
        </w:rPr>
        <w:t xml:space="preserve">text shows that </w:t>
      </w:r>
      <w:r w:rsidR="003619B8" w:rsidRPr="00300978">
        <w:rPr>
          <w:i/>
          <w:iCs/>
          <w:highlight w:val="yellow"/>
        </w:rPr>
        <w:t>only the cell ID mapping</w:t>
      </w:r>
      <w:r w:rsidR="003619B8" w:rsidRPr="003619B8">
        <w:rPr>
          <w:highlight w:val="yellow"/>
        </w:rPr>
        <w:t xml:space="preserve"> is shared between the source-target DUs.</w:t>
      </w:r>
    </w:p>
    <w:p w14:paraId="035C2F49" w14:textId="77777777" w:rsidR="00CA4E82" w:rsidRDefault="00CA4E82" w:rsidP="00CA4E82">
      <w:pPr>
        <w:pStyle w:val="Heading3"/>
        <w:rPr>
          <w:rFonts w:eastAsiaTheme="minorEastAsia"/>
        </w:rPr>
      </w:pPr>
      <w:r>
        <w:rPr>
          <w:rFonts w:eastAsiaTheme="minorEastAsia"/>
        </w:rPr>
        <w:t>8.</w:t>
      </w:r>
      <w:proofErr w:type="gramStart"/>
      <w:r>
        <w:rPr>
          <w:rFonts w:eastAsiaTheme="minorEastAsia"/>
        </w:rPr>
        <w:t>10</w:t>
      </w:r>
      <w:r>
        <w:rPr>
          <w:rFonts w:eastAsia="SimSun"/>
          <w:lang w:val="en-US"/>
        </w:rPr>
        <w:t>.Y</w:t>
      </w:r>
      <w:proofErr w:type="gramEnd"/>
      <w:r>
        <w:rPr>
          <w:rFonts w:eastAsiaTheme="minorEastAsia"/>
        </w:rPr>
        <w:tab/>
        <w:t>Mobile IAB F1 Setup Outcome Notification</w:t>
      </w:r>
    </w:p>
    <w:p w14:paraId="028EBD4B" w14:textId="77777777" w:rsidR="00CA4E82" w:rsidRDefault="00CA4E82" w:rsidP="00CA4E82">
      <w:pPr>
        <w:pStyle w:val="Heading4"/>
        <w:rPr>
          <w:rFonts w:eastAsiaTheme="minorEastAsia"/>
        </w:rPr>
      </w:pPr>
      <w:r>
        <w:rPr>
          <w:rFonts w:eastAsiaTheme="minorEastAsia"/>
        </w:rPr>
        <w:t>8.</w:t>
      </w:r>
      <w:proofErr w:type="gramStart"/>
      <w:r>
        <w:rPr>
          <w:rFonts w:eastAsiaTheme="minorEastAsia"/>
        </w:rPr>
        <w:t>10.Y.</w:t>
      </w:r>
      <w:proofErr w:type="gramEnd"/>
      <w:r>
        <w:rPr>
          <w:rFonts w:eastAsiaTheme="minorEastAsia"/>
        </w:rPr>
        <w:t>1</w:t>
      </w:r>
      <w:r>
        <w:rPr>
          <w:rFonts w:eastAsiaTheme="minorEastAsia"/>
        </w:rPr>
        <w:tab/>
        <w:t>General</w:t>
      </w:r>
    </w:p>
    <w:p w14:paraId="39009B72" w14:textId="77777777" w:rsidR="00CA4E82" w:rsidRDefault="00CA4E82" w:rsidP="00CA4E82">
      <w:pPr>
        <w:rPr>
          <w:rFonts w:eastAsia="Yu Mincho"/>
        </w:rPr>
      </w:pPr>
      <w:r>
        <w:rPr>
          <w:rFonts w:eastAsia="Yu Mincho"/>
        </w:rPr>
        <w:t xml:space="preserve">The purpose of the Mobile IAB F1 Setup Outcome Notification procedure is to report the outcome of the F1 interface setup between a target logical </w:t>
      </w:r>
      <w:proofErr w:type="spellStart"/>
      <w:r>
        <w:rPr>
          <w:rFonts w:eastAsia="Yu Mincho"/>
        </w:rPr>
        <w:t>gNB</w:t>
      </w:r>
      <w:proofErr w:type="spellEnd"/>
      <w:r>
        <w:rPr>
          <w:rFonts w:eastAsia="Yu Mincho"/>
        </w:rPr>
        <w:t xml:space="preserve">-DU and a target F1-terminating IAB-donor-CU. The target logical </w:t>
      </w:r>
      <w:proofErr w:type="spellStart"/>
      <w:r>
        <w:rPr>
          <w:rFonts w:eastAsia="Yu Mincho"/>
        </w:rPr>
        <w:t>gNB</w:t>
      </w:r>
      <w:proofErr w:type="spellEnd"/>
      <w:r>
        <w:rPr>
          <w:rFonts w:eastAsia="Yu Mincho"/>
        </w:rPr>
        <w:t xml:space="preserve">-DU is co-located with the </w:t>
      </w:r>
      <w:proofErr w:type="spellStart"/>
      <w:r>
        <w:rPr>
          <w:rFonts w:eastAsia="Yu Mincho"/>
        </w:rPr>
        <w:t>gNB</w:t>
      </w:r>
      <w:proofErr w:type="spellEnd"/>
      <w:r>
        <w:rPr>
          <w:rFonts w:eastAsia="Yu Mincho"/>
        </w:rPr>
        <w:t>-DU that sends the notification message and can be used to set up another F1 interface for supporting mobile IAB-DU migration. This procedure uses non-UE associated signalling.</w:t>
      </w:r>
    </w:p>
    <w:p w14:paraId="67583CE8" w14:textId="77777777" w:rsidR="00CA4E82" w:rsidRDefault="00CA4E82" w:rsidP="00CA4E82">
      <w:pPr>
        <w:pStyle w:val="NO"/>
        <w:rPr>
          <w:rFonts w:eastAsia="Yu Mincho"/>
        </w:rPr>
      </w:pPr>
      <w:r>
        <w:rPr>
          <w:rFonts w:eastAsia="Yu Mincho"/>
        </w:rPr>
        <w:t>NOTE:</w:t>
      </w:r>
      <w:r>
        <w:rPr>
          <w:rFonts w:eastAsia="Yu Mincho"/>
        </w:rPr>
        <w:tab/>
        <w:t>This procedure is applicable for mobile IAB-nodes, where the term "</w:t>
      </w:r>
      <w:proofErr w:type="spellStart"/>
      <w:r>
        <w:rPr>
          <w:rFonts w:eastAsia="Yu Mincho"/>
        </w:rPr>
        <w:t>gNB</w:t>
      </w:r>
      <w:proofErr w:type="spellEnd"/>
      <w:r>
        <w:rPr>
          <w:rFonts w:eastAsia="Yu Mincho"/>
        </w:rPr>
        <w:t>-DU" applies to mobile IAB-DU, and the term "</w:t>
      </w:r>
      <w:proofErr w:type="spellStart"/>
      <w:r>
        <w:rPr>
          <w:rFonts w:eastAsia="Yu Mincho"/>
        </w:rPr>
        <w:t>gNB</w:t>
      </w:r>
      <w:proofErr w:type="spellEnd"/>
      <w:r>
        <w:rPr>
          <w:rFonts w:eastAsia="Yu Mincho"/>
        </w:rPr>
        <w:t xml:space="preserve">-CU" applies to source F1-terminating IAB-donor-CU during </w:t>
      </w:r>
      <w:proofErr w:type="spellStart"/>
      <w:r>
        <w:rPr>
          <w:rFonts w:eastAsia="Yu Mincho"/>
        </w:rPr>
        <w:t>mIAB</w:t>
      </w:r>
      <w:proofErr w:type="spellEnd"/>
      <w:r>
        <w:rPr>
          <w:rFonts w:eastAsia="Yu Mincho"/>
        </w:rPr>
        <w:t xml:space="preserve">-DU migration. </w:t>
      </w:r>
    </w:p>
    <w:p w14:paraId="3F256E9E" w14:textId="77777777" w:rsidR="00CA4E82" w:rsidRDefault="00CA4E82" w:rsidP="00CA4E82">
      <w:pPr>
        <w:pStyle w:val="Heading4"/>
        <w:rPr>
          <w:rFonts w:eastAsiaTheme="minorEastAsia"/>
        </w:rPr>
      </w:pPr>
      <w:r>
        <w:rPr>
          <w:rFonts w:eastAsiaTheme="minorEastAsia"/>
        </w:rPr>
        <w:lastRenderedPageBreak/>
        <w:t>8.</w:t>
      </w:r>
      <w:proofErr w:type="gramStart"/>
      <w:r>
        <w:rPr>
          <w:rFonts w:eastAsiaTheme="minorEastAsia"/>
        </w:rPr>
        <w:t>10.Y.</w:t>
      </w:r>
      <w:proofErr w:type="gramEnd"/>
      <w:r>
        <w:rPr>
          <w:rFonts w:eastAsiaTheme="minorEastAsia"/>
        </w:rPr>
        <w:t>2</w:t>
      </w:r>
      <w:r>
        <w:rPr>
          <w:rFonts w:eastAsiaTheme="minorEastAsia"/>
        </w:rPr>
        <w:tab/>
        <w:t>Successful Operation</w:t>
      </w:r>
    </w:p>
    <w:p w14:paraId="1A11712D" w14:textId="77777777" w:rsidR="00CA4E82" w:rsidRDefault="00CA4E82" w:rsidP="00CA4E82">
      <w:pPr>
        <w:jc w:val="center"/>
        <w:rPr>
          <w:rFonts w:eastAsiaTheme="minorEastAsia"/>
        </w:rPr>
      </w:pPr>
      <w:r>
        <w:rPr>
          <w:rFonts w:eastAsiaTheme="minorEastAsia"/>
        </w:rPr>
        <w:object w:dxaOrig="5745" w:dyaOrig="2670" w14:anchorId="6B750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25pt;height:133.5pt" o:ole="">
            <v:imagedata r:id="rId20" o:title=""/>
          </v:shape>
          <o:OLEObject Type="Embed" ProgID="Word.Picture.8" ShapeID="_x0000_i1025" DrawAspect="Content" ObjectID="_1760466372" r:id="rId21"/>
        </w:object>
      </w:r>
    </w:p>
    <w:p w14:paraId="2A2F93A8" w14:textId="77777777" w:rsidR="00CA4E82" w:rsidRDefault="00CA4E82" w:rsidP="00CA4E82">
      <w:pPr>
        <w:pStyle w:val="TF"/>
        <w:rPr>
          <w:rFonts w:eastAsia="Yu Mincho"/>
        </w:rPr>
      </w:pPr>
      <w:r>
        <w:rPr>
          <w:rFonts w:eastAsia="Yu Mincho"/>
        </w:rPr>
        <w:t>Figure 8.10.Y.2</w:t>
      </w:r>
      <w:r>
        <w:t>-1</w:t>
      </w:r>
      <w:r>
        <w:rPr>
          <w:rFonts w:eastAsia="Yu Mincho"/>
        </w:rPr>
        <w:t>: Mobile IAB F1 Setup Outcome Notification: Successful Operation</w:t>
      </w:r>
    </w:p>
    <w:p w14:paraId="7E40525E" w14:textId="77777777" w:rsidR="00CA4E82" w:rsidRDefault="00CA4E82" w:rsidP="00CA4E82">
      <w:pPr>
        <w:rPr>
          <w:rFonts w:eastAsiaTheme="minorEastAsia"/>
        </w:rPr>
      </w:pPr>
      <w:r>
        <w:t xml:space="preserve">The </w:t>
      </w:r>
      <w:proofErr w:type="spellStart"/>
      <w:r>
        <w:t>gNB</w:t>
      </w:r>
      <w:proofErr w:type="spellEnd"/>
      <w:r>
        <w:t xml:space="preserve">-DU initiates the procedure by sending the MIAB F1 SETUP OUTCOME NOTIFICATION message to the </w:t>
      </w:r>
      <w:proofErr w:type="spellStart"/>
      <w:r>
        <w:t>gNB</w:t>
      </w:r>
      <w:proofErr w:type="spellEnd"/>
      <w:r>
        <w:t xml:space="preserve">-CU. After the target logical </w:t>
      </w:r>
      <w:proofErr w:type="spellStart"/>
      <w:r>
        <w:t>gNB</w:t>
      </w:r>
      <w:proofErr w:type="spellEnd"/>
      <w:r>
        <w:t xml:space="preserve">-DU co-located with the </w:t>
      </w:r>
      <w:proofErr w:type="spellStart"/>
      <w:r>
        <w:t>gNB</w:t>
      </w:r>
      <w:proofErr w:type="spellEnd"/>
      <w:r>
        <w:t xml:space="preserve">-DU has performed the F1 setup procedure with the target F1-terminating IAB-donor-CU, the </w:t>
      </w:r>
      <w:proofErr w:type="spellStart"/>
      <w:r>
        <w:t>gNB</w:t>
      </w:r>
      <w:proofErr w:type="spellEnd"/>
      <w:r>
        <w:t xml:space="preserve">-DU sends the MIAB F1 SETUP OUTCOME NOTIFICATION message to the </w:t>
      </w:r>
      <w:proofErr w:type="spellStart"/>
      <w:r>
        <w:t>gNB</w:t>
      </w:r>
      <w:proofErr w:type="spellEnd"/>
      <w:r>
        <w:t>-CU, to report the outcome of the F1 setup towards the target F1-terminating IAB-donor-CU.</w:t>
      </w:r>
    </w:p>
    <w:p w14:paraId="04A4E526" w14:textId="77777777" w:rsidR="00CA4E82" w:rsidRDefault="00CA4E82" w:rsidP="00CA4E82">
      <w:r w:rsidRPr="00EF50F4">
        <w:rPr>
          <w:highlight w:val="yellow"/>
        </w:rPr>
        <w:t xml:space="preserve">If the </w:t>
      </w:r>
      <w:r w:rsidRPr="00EF50F4">
        <w:rPr>
          <w:i/>
          <w:szCs w:val="18"/>
          <w:highlight w:val="yellow"/>
        </w:rPr>
        <w:t>Activated Cells Mapping List</w:t>
      </w:r>
      <w:r w:rsidRPr="00EF50F4">
        <w:rPr>
          <w:sz w:val="21"/>
          <w:highlight w:val="yellow"/>
        </w:rPr>
        <w:t xml:space="preserve"> </w:t>
      </w:r>
      <w:r w:rsidRPr="00EF50F4">
        <w:rPr>
          <w:highlight w:val="yellow"/>
        </w:rPr>
        <w:t xml:space="preserve">is included in the MIAB F1 SETUP OUTCOME NOTIFICATION message, the </w:t>
      </w:r>
      <w:proofErr w:type="spellStart"/>
      <w:r w:rsidRPr="00EF50F4">
        <w:rPr>
          <w:highlight w:val="yellow"/>
        </w:rPr>
        <w:t>gNB</w:t>
      </w:r>
      <w:proofErr w:type="spellEnd"/>
      <w:r w:rsidRPr="00EF50F4">
        <w:rPr>
          <w:highlight w:val="yellow"/>
        </w:rPr>
        <w:t xml:space="preserve">-CU shall, if supported, take it into account when further performing handover of the connected UEs from this </w:t>
      </w:r>
      <w:proofErr w:type="spellStart"/>
      <w:r w:rsidRPr="00EF50F4">
        <w:rPr>
          <w:highlight w:val="yellow"/>
        </w:rPr>
        <w:t>gNB</w:t>
      </w:r>
      <w:proofErr w:type="spellEnd"/>
      <w:r w:rsidRPr="00EF50F4">
        <w:rPr>
          <w:highlight w:val="yellow"/>
        </w:rPr>
        <w:t xml:space="preserve">-DU to its co-located target logical </w:t>
      </w:r>
      <w:proofErr w:type="spellStart"/>
      <w:r w:rsidRPr="00EF50F4">
        <w:rPr>
          <w:highlight w:val="yellow"/>
        </w:rPr>
        <w:t>gNB</w:t>
      </w:r>
      <w:proofErr w:type="spellEnd"/>
      <w:r w:rsidRPr="00EF50F4">
        <w:rPr>
          <w:highlight w:val="yellow"/>
        </w:rPr>
        <w:t>-DU</w:t>
      </w:r>
      <w:r>
        <w:t>.</w:t>
      </w:r>
    </w:p>
    <w:p w14:paraId="504DC3F9" w14:textId="77777777" w:rsidR="000B7D3F" w:rsidRDefault="000B7D3F" w:rsidP="000B7D3F">
      <w:pPr>
        <w:pStyle w:val="Heading4"/>
        <w:rPr>
          <w:rFonts w:eastAsiaTheme="minorEastAsia"/>
        </w:rPr>
      </w:pPr>
      <w:bookmarkStart w:id="0" w:name="_Toc81383337"/>
      <w:bookmarkStart w:id="1" w:name="_Toc74154593"/>
      <w:bookmarkStart w:id="2" w:name="_Toc88657970"/>
      <w:bookmarkStart w:id="3" w:name="_Toc97910882"/>
      <w:bookmarkStart w:id="4" w:name="_Toc99038602"/>
      <w:bookmarkStart w:id="5" w:name="_Toc99730865"/>
      <w:bookmarkStart w:id="6" w:name="_Toc105510994"/>
      <w:bookmarkStart w:id="7" w:name="_Toc105927526"/>
      <w:bookmarkStart w:id="8" w:name="_Toc113835503"/>
      <w:bookmarkStart w:id="9" w:name="_Toc66289480"/>
      <w:bookmarkStart w:id="10" w:name="_Toc64448821"/>
      <w:bookmarkStart w:id="11" w:name="_Toc106110066"/>
      <w:bookmarkStart w:id="12" w:name="_Toc45832399"/>
      <w:bookmarkStart w:id="13" w:name="_Toc51763652"/>
      <w:bookmarkStart w:id="14" w:name="_Toc120124350"/>
      <w:bookmarkStart w:id="15" w:name="_Toc121161350"/>
      <w:r>
        <w:rPr>
          <w:rFonts w:eastAsiaTheme="minorEastAsia"/>
        </w:rPr>
        <w:t>9.2.9.X2</w:t>
      </w:r>
      <w:r>
        <w:rPr>
          <w:rFonts w:eastAsiaTheme="minorEastAsia"/>
        </w:rPr>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Pr>
          <w:rFonts w:eastAsiaTheme="minorEastAsia"/>
        </w:rPr>
        <w:t>MIAB F1 SETUP OUTCOME NOTIFICATION</w:t>
      </w:r>
    </w:p>
    <w:p w14:paraId="5263F8B7" w14:textId="77777777" w:rsidR="000B7D3F" w:rsidRDefault="000B7D3F" w:rsidP="000B7D3F">
      <w:pPr>
        <w:rPr>
          <w:rFonts w:eastAsiaTheme="minorEastAsia"/>
        </w:rPr>
      </w:pPr>
      <w:r>
        <w:t xml:space="preserve">This message is sent by the </w:t>
      </w:r>
      <w:proofErr w:type="spellStart"/>
      <w:r>
        <w:t>gNB</w:t>
      </w:r>
      <w:proofErr w:type="spellEnd"/>
      <w:r>
        <w:t xml:space="preserve">-DU to notify the </w:t>
      </w:r>
      <w:proofErr w:type="spellStart"/>
      <w:r>
        <w:t>gNB</w:t>
      </w:r>
      <w:proofErr w:type="spellEnd"/>
      <w:r>
        <w:t xml:space="preserve">-CU about the outcome of F1 interface setup between the </w:t>
      </w:r>
      <w:proofErr w:type="spellStart"/>
      <w:r>
        <w:t>gNB</w:t>
      </w:r>
      <w:proofErr w:type="spellEnd"/>
      <w:r>
        <w:t xml:space="preserve">-DU’s co-located target logical </w:t>
      </w:r>
      <w:proofErr w:type="spellStart"/>
      <w:r>
        <w:t>gNB</w:t>
      </w:r>
      <w:proofErr w:type="spellEnd"/>
      <w:r>
        <w:t xml:space="preserve">-DU and a target F1-terminating IAB-donor-CU. </w:t>
      </w:r>
    </w:p>
    <w:p w14:paraId="60497120" w14:textId="77777777" w:rsidR="000B7D3F" w:rsidRDefault="000B7D3F" w:rsidP="000B7D3F">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972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B7D3F" w14:paraId="7F5B953F" w14:textId="77777777" w:rsidTr="000B7D3F">
        <w:trPr>
          <w:tblHeader/>
        </w:trPr>
        <w:tc>
          <w:tcPr>
            <w:tcW w:w="2160" w:type="dxa"/>
            <w:tcBorders>
              <w:top w:val="single" w:sz="4" w:space="0" w:color="auto"/>
              <w:left w:val="single" w:sz="4" w:space="0" w:color="auto"/>
              <w:bottom w:val="single" w:sz="4" w:space="0" w:color="auto"/>
              <w:right w:val="single" w:sz="4" w:space="0" w:color="auto"/>
            </w:tcBorders>
            <w:hideMark/>
          </w:tcPr>
          <w:p w14:paraId="7C85C0FF" w14:textId="77777777" w:rsidR="000B7D3F" w:rsidRDefault="000B7D3F">
            <w:pPr>
              <w:pStyle w:val="TAH"/>
              <w:rPr>
                <w:lang w:eastAsia="zh-CN"/>
              </w:rPr>
            </w:pPr>
            <w:r>
              <w:rPr>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249F7D0" w14:textId="77777777" w:rsidR="000B7D3F" w:rsidRDefault="000B7D3F">
            <w:pPr>
              <w:pStyle w:val="TAH"/>
              <w:rPr>
                <w:lang w:eastAsia="zh-CN"/>
              </w:rPr>
            </w:pPr>
            <w:r>
              <w:rPr>
                <w:lang w:eastAsia="zh-CN"/>
              </w:rPr>
              <w:t>Presence</w:t>
            </w:r>
          </w:p>
        </w:tc>
        <w:tc>
          <w:tcPr>
            <w:tcW w:w="1080" w:type="dxa"/>
            <w:tcBorders>
              <w:top w:val="single" w:sz="4" w:space="0" w:color="auto"/>
              <w:left w:val="single" w:sz="4" w:space="0" w:color="auto"/>
              <w:bottom w:val="single" w:sz="4" w:space="0" w:color="auto"/>
              <w:right w:val="single" w:sz="4" w:space="0" w:color="auto"/>
            </w:tcBorders>
            <w:hideMark/>
          </w:tcPr>
          <w:p w14:paraId="5AB4C618" w14:textId="77777777" w:rsidR="000B7D3F" w:rsidRDefault="000B7D3F">
            <w:pPr>
              <w:pStyle w:val="TAH"/>
              <w:rPr>
                <w:lang w:eastAsia="zh-CN"/>
              </w:rPr>
            </w:pPr>
            <w:r>
              <w:rPr>
                <w:lang w:eastAsia="zh-CN"/>
              </w:rPr>
              <w:t>Range</w:t>
            </w:r>
          </w:p>
        </w:tc>
        <w:tc>
          <w:tcPr>
            <w:tcW w:w="1512" w:type="dxa"/>
            <w:tcBorders>
              <w:top w:val="single" w:sz="4" w:space="0" w:color="auto"/>
              <w:left w:val="single" w:sz="4" w:space="0" w:color="auto"/>
              <w:bottom w:val="single" w:sz="4" w:space="0" w:color="auto"/>
              <w:right w:val="single" w:sz="4" w:space="0" w:color="auto"/>
            </w:tcBorders>
            <w:hideMark/>
          </w:tcPr>
          <w:p w14:paraId="64207742" w14:textId="77777777" w:rsidR="000B7D3F" w:rsidRDefault="000B7D3F">
            <w:pPr>
              <w:pStyle w:val="TAH"/>
              <w:rPr>
                <w:lang w:eastAsia="zh-CN"/>
              </w:rPr>
            </w:pPr>
            <w:r>
              <w:rPr>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C8C186F" w14:textId="77777777" w:rsidR="000B7D3F" w:rsidRDefault="000B7D3F">
            <w:pPr>
              <w:pStyle w:val="TAH"/>
              <w:rPr>
                <w:lang w:eastAsia="zh-CN"/>
              </w:rPr>
            </w:pPr>
            <w:r>
              <w:rPr>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5924506" w14:textId="77777777" w:rsidR="000B7D3F" w:rsidRDefault="000B7D3F">
            <w:pPr>
              <w:pStyle w:val="TAH"/>
              <w:rPr>
                <w:lang w:eastAsia="zh-CN"/>
              </w:rPr>
            </w:pPr>
            <w:r>
              <w:rPr>
                <w:lang w:eastAsia="zh-CN"/>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76EC3D5" w14:textId="77777777" w:rsidR="000B7D3F" w:rsidRDefault="000B7D3F">
            <w:pPr>
              <w:pStyle w:val="TAH"/>
              <w:rPr>
                <w:lang w:eastAsia="zh-CN"/>
              </w:rPr>
            </w:pPr>
            <w:r>
              <w:rPr>
                <w:lang w:eastAsia="zh-CN"/>
              </w:rPr>
              <w:t>Assigned Criticality</w:t>
            </w:r>
          </w:p>
        </w:tc>
      </w:tr>
      <w:tr w:rsidR="000B7D3F" w14:paraId="53AACB81" w14:textId="77777777" w:rsidTr="000B7D3F">
        <w:tc>
          <w:tcPr>
            <w:tcW w:w="2160" w:type="dxa"/>
            <w:tcBorders>
              <w:top w:val="single" w:sz="4" w:space="0" w:color="auto"/>
              <w:left w:val="single" w:sz="4" w:space="0" w:color="auto"/>
              <w:bottom w:val="single" w:sz="4" w:space="0" w:color="auto"/>
              <w:right w:val="single" w:sz="4" w:space="0" w:color="auto"/>
            </w:tcBorders>
            <w:hideMark/>
          </w:tcPr>
          <w:p w14:paraId="77798E0A" w14:textId="77777777" w:rsidR="000B7D3F" w:rsidRDefault="000B7D3F">
            <w:pPr>
              <w:keepNext/>
              <w:keepLines/>
              <w:spacing w:after="0"/>
              <w:rPr>
                <w:rFonts w:ascii="Arial" w:hAnsi="Arial" w:cs="Arial"/>
                <w:sz w:val="18"/>
                <w:szCs w:val="18"/>
                <w:lang w:eastAsia="zh-CN"/>
              </w:rPr>
            </w:pPr>
            <w:r>
              <w:rPr>
                <w:rFonts w:ascii="Arial" w:hAnsi="Arial" w:cs="Arial"/>
                <w:sz w:val="18"/>
                <w:szCs w:val="18"/>
                <w:lang w:eastAsia="zh-CN"/>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0D4B1517" w14:textId="77777777" w:rsidR="000B7D3F" w:rsidRDefault="000B7D3F">
            <w:pPr>
              <w:pStyle w:val="TAL"/>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474C5C9" w14:textId="77777777" w:rsidR="000B7D3F" w:rsidRDefault="000B7D3F">
            <w:pPr>
              <w:pStyle w:val="TAL"/>
              <w:rPr>
                <w:i/>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5ED46CDC" w14:textId="77777777" w:rsidR="000B7D3F" w:rsidRDefault="000B7D3F">
            <w:pPr>
              <w:pStyle w:val="TAL"/>
              <w:rPr>
                <w:lang w:eastAsia="zh-CN"/>
              </w:rPr>
            </w:pPr>
            <w:r>
              <w:rPr>
                <w:lang w:eastAsia="zh-CN"/>
              </w:rPr>
              <w:t>9.3.1.1</w:t>
            </w:r>
          </w:p>
        </w:tc>
        <w:tc>
          <w:tcPr>
            <w:tcW w:w="1728" w:type="dxa"/>
            <w:tcBorders>
              <w:top w:val="single" w:sz="4" w:space="0" w:color="auto"/>
              <w:left w:val="single" w:sz="4" w:space="0" w:color="auto"/>
              <w:bottom w:val="single" w:sz="4" w:space="0" w:color="auto"/>
              <w:right w:val="single" w:sz="4" w:space="0" w:color="auto"/>
            </w:tcBorders>
          </w:tcPr>
          <w:p w14:paraId="166120A5" w14:textId="77777777" w:rsidR="000B7D3F" w:rsidRDefault="000B7D3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72E22EC" w14:textId="77777777" w:rsidR="000B7D3F" w:rsidRDefault="000B7D3F">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FFE8E6D" w14:textId="77777777" w:rsidR="000B7D3F" w:rsidRDefault="000B7D3F">
            <w:pPr>
              <w:pStyle w:val="TAC"/>
              <w:rPr>
                <w:lang w:eastAsia="zh-CN"/>
              </w:rPr>
            </w:pPr>
            <w:r>
              <w:rPr>
                <w:lang w:eastAsia="zh-CN"/>
              </w:rPr>
              <w:t>reject</w:t>
            </w:r>
          </w:p>
        </w:tc>
      </w:tr>
      <w:tr w:rsidR="000B7D3F" w14:paraId="12FCFCDC" w14:textId="77777777" w:rsidTr="000B7D3F">
        <w:tc>
          <w:tcPr>
            <w:tcW w:w="2160" w:type="dxa"/>
            <w:tcBorders>
              <w:top w:val="single" w:sz="4" w:space="0" w:color="auto"/>
              <w:left w:val="single" w:sz="4" w:space="0" w:color="auto"/>
              <w:bottom w:val="single" w:sz="4" w:space="0" w:color="auto"/>
              <w:right w:val="single" w:sz="4" w:space="0" w:color="auto"/>
            </w:tcBorders>
            <w:hideMark/>
          </w:tcPr>
          <w:p w14:paraId="5A4E00E2" w14:textId="77777777" w:rsidR="000B7D3F" w:rsidRDefault="000B7D3F">
            <w:pPr>
              <w:keepNext/>
              <w:keepLines/>
              <w:spacing w:after="0"/>
              <w:rPr>
                <w:rFonts w:ascii="Arial" w:eastAsia="Batang" w:hAnsi="Arial" w:cs="Arial"/>
                <w:sz w:val="18"/>
                <w:szCs w:val="18"/>
                <w:lang w:val="sv-SE" w:eastAsia="zh-CN"/>
              </w:rPr>
            </w:pPr>
            <w:r>
              <w:rPr>
                <w:rFonts w:ascii="Arial" w:hAnsi="Arial" w:cs="Arial"/>
                <w:sz w:val="18"/>
                <w:szCs w:val="18"/>
                <w:lang w:eastAsia="zh-CN"/>
              </w:rPr>
              <w:t>Transaction ID</w:t>
            </w:r>
          </w:p>
        </w:tc>
        <w:tc>
          <w:tcPr>
            <w:tcW w:w="1080" w:type="dxa"/>
            <w:tcBorders>
              <w:top w:val="single" w:sz="4" w:space="0" w:color="auto"/>
              <w:left w:val="single" w:sz="4" w:space="0" w:color="auto"/>
              <w:bottom w:val="single" w:sz="4" w:space="0" w:color="auto"/>
              <w:right w:val="single" w:sz="4" w:space="0" w:color="auto"/>
            </w:tcBorders>
            <w:hideMark/>
          </w:tcPr>
          <w:p w14:paraId="7D84C2F4" w14:textId="77777777" w:rsidR="000B7D3F" w:rsidRDefault="000B7D3F">
            <w:pPr>
              <w:pStyle w:val="TAL"/>
              <w:rPr>
                <w:rFonts w:eastAsiaTheme="minorEastAsia"/>
                <w:lang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937F736" w14:textId="77777777" w:rsidR="000B7D3F" w:rsidRDefault="000B7D3F">
            <w:pPr>
              <w:pStyle w:val="TAL"/>
              <w:rPr>
                <w:i/>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2313B41A" w14:textId="77777777" w:rsidR="000B7D3F" w:rsidRDefault="000B7D3F">
            <w:pPr>
              <w:pStyle w:val="TAL"/>
              <w:rPr>
                <w:lang w:eastAsia="zh-CN"/>
              </w:rPr>
            </w:pPr>
            <w:r>
              <w:rPr>
                <w:lang w:eastAsia="zh-CN"/>
              </w:rPr>
              <w:t>9.3.1.23</w:t>
            </w:r>
          </w:p>
        </w:tc>
        <w:tc>
          <w:tcPr>
            <w:tcW w:w="1728" w:type="dxa"/>
            <w:tcBorders>
              <w:top w:val="single" w:sz="4" w:space="0" w:color="auto"/>
              <w:left w:val="single" w:sz="4" w:space="0" w:color="auto"/>
              <w:bottom w:val="single" w:sz="4" w:space="0" w:color="auto"/>
              <w:right w:val="single" w:sz="4" w:space="0" w:color="auto"/>
            </w:tcBorders>
          </w:tcPr>
          <w:p w14:paraId="45F108FC" w14:textId="77777777" w:rsidR="000B7D3F" w:rsidRDefault="000B7D3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AF28696" w14:textId="77777777" w:rsidR="000B7D3F" w:rsidRDefault="000B7D3F">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521F691" w14:textId="77777777" w:rsidR="000B7D3F" w:rsidRDefault="000B7D3F">
            <w:pPr>
              <w:pStyle w:val="TAC"/>
              <w:rPr>
                <w:lang w:eastAsia="zh-CN"/>
              </w:rPr>
            </w:pPr>
            <w:r>
              <w:rPr>
                <w:lang w:eastAsia="zh-CN"/>
              </w:rPr>
              <w:t>reject</w:t>
            </w:r>
          </w:p>
        </w:tc>
      </w:tr>
      <w:tr w:rsidR="000B7D3F" w14:paraId="23850C36" w14:textId="77777777" w:rsidTr="000B7D3F">
        <w:tc>
          <w:tcPr>
            <w:tcW w:w="2160" w:type="dxa"/>
            <w:tcBorders>
              <w:top w:val="single" w:sz="4" w:space="0" w:color="auto"/>
              <w:left w:val="single" w:sz="4" w:space="0" w:color="auto"/>
              <w:bottom w:val="single" w:sz="4" w:space="0" w:color="auto"/>
              <w:right w:val="single" w:sz="4" w:space="0" w:color="auto"/>
            </w:tcBorders>
            <w:hideMark/>
          </w:tcPr>
          <w:p w14:paraId="0E7D31C8" w14:textId="77777777" w:rsidR="000B7D3F" w:rsidRDefault="000B7D3F">
            <w:pPr>
              <w:keepNext/>
              <w:keepLines/>
              <w:spacing w:after="0"/>
              <w:rPr>
                <w:rFonts w:ascii="Arial" w:hAnsi="Arial" w:cs="Arial"/>
                <w:sz w:val="18"/>
                <w:szCs w:val="18"/>
                <w:lang w:eastAsia="zh-CN"/>
              </w:rPr>
            </w:pPr>
            <w:r>
              <w:rPr>
                <w:rFonts w:ascii="Arial" w:hAnsi="Arial" w:cs="Arial"/>
                <w:sz w:val="18"/>
                <w:szCs w:val="18"/>
                <w:lang w:eastAsia="zh-CN"/>
              </w:rPr>
              <w:t>F1 Setup Outcome</w:t>
            </w:r>
          </w:p>
        </w:tc>
        <w:tc>
          <w:tcPr>
            <w:tcW w:w="1080" w:type="dxa"/>
            <w:tcBorders>
              <w:top w:val="single" w:sz="4" w:space="0" w:color="auto"/>
              <w:left w:val="single" w:sz="4" w:space="0" w:color="auto"/>
              <w:bottom w:val="single" w:sz="4" w:space="0" w:color="auto"/>
              <w:right w:val="single" w:sz="4" w:space="0" w:color="auto"/>
            </w:tcBorders>
            <w:hideMark/>
          </w:tcPr>
          <w:p w14:paraId="73EB7F6C" w14:textId="77777777" w:rsidR="000B7D3F" w:rsidRDefault="000B7D3F">
            <w:pPr>
              <w:pStyle w:val="TAL"/>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C845429" w14:textId="77777777" w:rsidR="000B7D3F" w:rsidRDefault="000B7D3F">
            <w:pPr>
              <w:pStyle w:val="TAL"/>
              <w:rPr>
                <w:i/>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6B9D8188" w14:textId="77777777" w:rsidR="000B7D3F" w:rsidRDefault="000B7D3F">
            <w:pPr>
              <w:pStyle w:val="TAL"/>
              <w:rPr>
                <w:lang w:eastAsia="zh-CN"/>
              </w:rPr>
            </w:pPr>
            <w:r>
              <w:rPr>
                <w:lang w:eastAsia="zh-CN"/>
              </w:rPr>
              <w:t>ENUMERATED (success, failure</w:t>
            </w:r>
            <w:r>
              <w:rPr>
                <w:noProof/>
                <w:lang w:eastAsia="zh-CN"/>
              </w:rPr>
              <w:t>, …</w:t>
            </w:r>
            <w:r>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147F3A0A" w14:textId="77777777" w:rsidR="000B7D3F" w:rsidRDefault="000B7D3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FE26061" w14:textId="77777777" w:rsidR="000B7D3F" w:rsidRDefault="000B7D3F">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A9865C5" w14:textId="77777777" w:rsidR="000B7D3F" w:rsidRDefault="000B7D3F">
            <w:pPr>
              <w:pStyle w:val="TAC"/>
              <w:rPr>
                <w:lang w:eastAsia="zh-CN"/>
              </w:rPr>
            </w:pPr>
            <w:r>
              <w:rPr>
                <w:lang w:eastAsia="zh-CN"/>
              </w:rPr>
              <w:t>reject</w:t>
            </w:r>
          </w:p>
        </w:tc>
      </w:tr>
      <w:tr w:rsidR="000B7D3F" w14:paraId="02679128" w14:textId="77777777" w:rsidTr="000B7D3F">
        <w:tc>
          <w:tcPr>
            <w:tcW w:w="2160" w:type="dxa"/>
            <w:tcBorders>
              <w:top w:val="single" w:sz="4" w:space="0" w:color="auto"/>
              <w:left w:val="single" w:sz="4" w:space="0" w:color="auto"/>
              <w:bottom w:val="single" w:sz="4" w:space="0" w:color="auto"/>
              <w:right w:val="single" w:sz="4" w:space="0" w:color="auto"/>
            </w:tcBorders>
            <w:hideMark/>
          </w:tcPr>
          <w:p w14:paraId="42323EB2" w14:textId="77777777" w:rsidR="000B7D3F" w:rsidRPr="00C73922" w:rsidRDefault="000B7D3F">
            <w:pPr>
              <w:keepNext/>
              <w:keepLines/>
              <w:spacing w:after="0"/>
              <w:rPr>
                <w:rFonts w:ascii="Arial" w:hAnsi="Arial" w:cs="Arial"/>
                <w:b/>
                <w:sz w:val="18"/>
                <w:szCs w:val="18"/>
                <w:highlight w:val="yellow"/>
                <w:lang w:eastAsia="zh-CN"/>
              </w:rPr>
            </w:pPr>
            <w:r w:rsidRPr="00C73922">
              <w:rPr>
                <w:rFonts w:ascii="Arial" w:hAnsi="Arial" w:cs="Arial"/>
                <w:b/>
                <w:sz w:val="18"/>
                <w:szCs w:val="18"/>
                <w:highlight w:val="yellow"/>
                <w:lang w:eastAsia="zh-CN"/>
              </w:rPr>
              <w:t>Activated Cells Mapping List</w:t>
            </w:r>
          </w:p>
        </w:tc>
        <w:tc>
          <w:tcPr>
            <w:tcW w:w="1080" w:type="dxa"/>
            <w:tcBorders>
              <w:top w:val="single" w:sz="4" w:space="0" w:color="auto"/>
              <w:left w:val="single" w:sz="4" w:space="0" w:color="auto"/>
              <w:bottom w:val="single" w:sz="4" w:space="0" w:color="auto"/>
              <w:right w:val="single" w:sz="4" w:space="0" w:color="auto"/>
            </w:tcBorders>
          </w:tcPr>
          <w:p w14:paraId="1C9C0CA8" w14:textId="77777777" w:rsidR="000B7D3F" w:rsidRPr="00C73922" w:rsidRDefault="000B7D3F">
            <w:pPr>
              <w:pStyle w:val="TAL"/>
              <w:rPr>
                <w:rFonts w:cs="Arial"/>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99E4247" w14:textId="77777777" w:rsidR="000B7D3F" w:rsidRPr="00C73922" w:rsidRDefault="000B7D3F">
            <w:pPr>
              <w:pStyle w:val="TAL"/>
              <w:rPr>
                <w:highlight w:val="yellow"/>
                <w:lang w:eastAsia="zh-CN"/>
              </w:rPr>
            </w:pPr>
            <w:r w:rsidRPr="00C73922">
              <w:rPr>
                <w:i/>
                <w:highlight w:val="yellow"/>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37616EF1" w14:textId="77777777" w:rsidR="000B7D3F" w:rsidRPr="00C73922" w:rsidRDefault="000B7D3F">
            <w:pPr>
              <w:pStyle w:val="TAL"/>
              <w:rPr>
                <w:rFonts w:cs="Arial"/>
                <w:highlight w:val="yellow"/>
                <w:lang w:eastAsia="ja-JP"/>
              </w:rPr>
            </w:pPr>
          </w:p>
        </w:tc>
        <w:tc>
          <w:tcPr>
            <w:tcW w:w="1728" w:type="dxa"/>
            <w:tcBorders>
              <w:top w:val="single" w:sz="4" w:space="0" w:color="auto"/>
              <w:left w:val="single" w:sz="4" w:space="0" w:color="auto"/>
              <w:bottom w:val="single" w:sz="4" w:space="0" w:color="auto"/>
              <w:right w:val="single" w:sz="4" w:space="0" w:color="auto"/>
            </w:tcBorders>
          </w:tcPr>
          <w:p w14:paraId="2FE9E287" w14:textId="77777777" w:rsidR="000B7D3F" w:rsidRPr="00C73922" w:rsidRDefault="000B7D3F">
            <w:pPr>
              <w:pStyle w:val="TAL"/>
              <w:rPr>
                <w:rFonts w:cs="Arial"/>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A419C1" w14:textId="77777777" w:rsidR="000B7D3F" w:rsidRDefault="000B7D3F">
            <w:pPr>
              <w:pStyle w:val="TAC"/>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47CCA3E" w14:textId="77777777" w:rsidR="000B7D3F" w:rsidRDefault="000B7D3F">
            <w:pPr>
              <w:pStyle w:val="TAC"/>
              <w:rPr>
                <w:rFonts w:cs="Arial"/>
                <w:lang w:eastAsia="zh-CN"/>
              </w:rPr>
            </w:pPr>
            <w:r>
              <w:rPr>
                <w:rFonts w:cs="Arial"/>
                <w:lang w:eastAsia="zh-CN"/>
              </w:rPr>
              <w:t>ignore</w:t>
            </w:r>
          </w:p>
        </w:tc>
      </w:tr>
      <w:tr w:rsidR="000B7D3F" w14:paraId="4ABD3C14" w14:textId="77777777" w:rsidTr="000B7D3F">
        <w:tc>
          <w:tcPr>
            <w:tcW w:w="2160" w:type="dxa"/>
            <w:tcBorders>
              <w:top w:val="single" w:sz="4" w:space="0" w:color="auto"/>
              <w:left w:val="single" w:sz="4" w:space="0" w:color="auto"/>
              <w:bottom w:val="single" w:sz="4" w:space="0" w:color="auto"/>
              <w:right w:val="single" w:sz="4" w:space="0" w:color="auto"/>
            </w:tcBorders>
            <w:hideMark/>
          </w:tcPr>
          <w:p w14:paraId="5A385CD5" w14:textId="77777777" w:rsidR="000B7D3F" w:rsidRPr="00C73922" w:rsidRDefault="000B7D3F">
            <w:pPr>
              <w:keepNext/>
              <w:keepLines/>
              <w:spacing w:after="0"/>
              <w:ind w:left="100"/>
              <w:rPr>
                <w:rFonts w:ascii="Arial" w:hAnsi="Arial" w:cs="Arial"/>
                <w:b/>
                <w:sz w:val="18"/>
                <w:szCs w:val="18"/>
                <w:highlight w:val="yellow"/>
                <w:lang w:eastAsia="zh-CN"/>
              </w:rPr>
            </w:pPr>
            <w:r w:rsidRPr="00C73922">
              <w:rPr>
                <w:rFonts w:ascii="Arial" w:hAnsi="Arial" w:cs="Arial"/>
                <w:b/>
                <w:sz w:val="18"/>
                <w:szCs w:val="18"/>
                <w:highlight w:val="yellow"/>
                <w:lang w:eastAsia="zh-CN"/>
              </w:rPr>
              <w:t>&gt;Activated Cells List Mapping Item IEs</w:t>
            </w:r>
          </w:p>
        </w:tc>
        <w:tc>
          <w:tcPr>
            <w:tcW w:w="1080" w:type="dxa"/>
            <w:tcBorders>
              <w:top w:val="single" w:sz="4" w:space="0" w:color="auto"/>
              <w:left w:val="single" w:sz="4" w:space="0" w:color="auto"/>
              <w:bottom w:val="single" w:sz="4" w:space="0" w:color="auto"/>
              <w:right w:val="single" w:sz="4" w:space="0" w:color="auto"/>
            </w:tcBorders>
          </w:tcPr>
          <w:p w14:paraId="3F4E4527" w14:textId="77777777" w:rsidR="000B7D3F" w:rsidRPr="00C73922" w:rsidRDefault="000B7D3F">
            <w:pPr>
              <w:pStyle w:val="TAL"/>
              <w:rPr>
                <w:rFonts w:cs="Arial"/>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8BFB79E" w14:textId="77777777" w:rsidR="000B7D3F" w:rsidRPr="00C73922" w:rsidRDefault="000B7D3F">
            <w:pPr>
              <w:pStyle w:val="TAL"/>
              <w:rPr>
                <w:highlight w:val="yellow"/>
                <w:lang w:eastAsia="zh-CN"/>
              </w:rPr>
            </w:pPr>
            <w:r w:rsidRPr="00C73922">
              <w:rPr>
                <w:rFonts w:cs="Arial"/>
                <w:i/>
                <w:szCs w:val="18"/>
                <w:highlight w:val="yellow"/>
                <w:lang w:eastAsia="ja-JP"/>
              </w:rPr>
              <w:t>1.. &lt;</w:t>
            </w:r>
            <w:proofErr w:type="spellStart"/>
            <w:r w:rsidRPr="00C73922">
              <w:rPr>
                <w:rFonts w:cs="Arial"/>
                <w:i/>
                <w:szCs w:val="18"/>
                <w:highlight w:val="yellow"/>
                <w:lang w:eastAsia="ja-JP"/>
              </w:rPr>
              <w:t>maxCellingNBDU</w:t>
            </w:r>
            <w:proofErr w:type="spellEnd"/>
            <w:r w:rsidRPr="00C73922">
              <w:rPr>
                <w:rFonts w:cs="Arial"/>
                <w:i/>
                <w:szCs w:val="18"/>
                <w:highlight w:val="yellow"/>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DF4090F" w14:textId="77777777" w:rsidR="000B7D3F" w:rsidRPr="00C73922" w:rsidRDefault="000B7D3F">
            <w:pPr>
              <w:pStyle w:val="TAL"/>
              <w:rPr>
                <w:rFonts w:cs="Arial"/>
                <w:highlight w:val="yellow"/>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060C4411" w14:textId="77777777" w:rsidR="000B7D3F" w:rsidRPr="00C73922" w:rsidRDefault="000B7D3F">
            <w:pPr>
              <w:pStyle w:val="TAH"/>
              <w:jc w:val="left"/>
              <w:rPr>
                <w:rFonts w:cs="Arial"/>
                <w:b w:val="0"/>
                <w:highlight w:val="yellow"/>
                <w:lang w:eastAsia="ja-JP"/>
              </w:rPr>
            </w:pPr>
            <w:r w:rsidRPr="00C73922">
              <w:rPr>
                <w:rFonts w:cs="Arial"/>
                <w:b w:val="0"/>
                <w:szCs w:val="18"/>
                <w:highlight w:val="yellow"/>
                <w:lang w:eastAsia="ja-JP"/>
              </w:rPr>
              <w:t xml:space="preserve">List of activated cells. </w:t>
            </w:r>
          </w:p>
        </w:tc>
        <w:tc>
          <w:tcPr>
            <w:tcW w:w="1080" w:type="dxa"/>
            <w:tcBorders>
              <w:top w:val="single" w:sz="4" w:space="0" w:color="auto"/>
              <w:left w:val="single" w:sz="4" w:space="0" w:color="auto"/>
              <w:bottom w:val="single" w:sz="4" w:space="0" w:color="auto"/>
              <w:right w:val="single" w:sz="4" w:space="0" w:color="auto"/>
            </w:tcBorders>
            <w:hideMark/>
          </w:tcPr>
          <w:p w14:paraId="1F9BFBD2" w14:textId="77777777" w:rsidR="000B7D3F" w:rsidRDefault="000B7D3F">
            <w:pPr>
              <w:pStyle w:val="TAC"/>
              <w:rPr>
                <w:rFonts w:cs="Arial"/>
                <w:lang w:eastAsia="ja-JP"/>
              </w:rPr>
            </w:pPr>
            <w:r>
              <w:rPr>
                <w:rFonts w:cs="Arial"/>
                <w:lang w:eastAsia="ja-JP"/>
              </w:rPr>
              <w:t>EACH</w:t>
            </w:r>
          </w:p>
        </w:tc>
        <w:tc>
          <w:tcPr>
            <w:tcW w:w="1080" w:type="dxa"/>
            <w:tcBorders>
              <w:top w:val="single" w:sz="4" w:space="0" w:color="auto"/>
              <w:left w:val="single" w:sz="4" w:space="0" w:color="auto"/>
              <w:bottom w:val="single" w:sz="4" w:space="0" w:color="auto"/>
              <w:right w:val="single" w:sz="4" w:space="0" w:color="auto"/>
            </w:tcBorders>
            <w:hideMark/>
          </w:tcPr>
          <w:p w14:paraId="3E18713E" w14:textId="77777777" w:rsidR="000B7D3F" w:rsidRDefault="000B7D3F">
            <w:pPr>
              <w:pStyle w:val="TAC"/>
              <w:rPr>
                <w:rFonts w:cs="Arial"/>
                <w:lang w:eastAsia="zh-CN"/>
              </w:rPr>
            </w:pPr>
            <w:r>
              <w:rPr>
                <w:rFonts w:cs="Arial"/>
                <w:lang w:eastAsia="zh-CN"/>
              </w:rPr>
              <w:t>ignore</w:t>
            </w:r>
          </w:p>
        </w:tc>
      </w:tr>
      <w:tr w:rsidR="000B7D3F" w14:paraId="22D3CC93" w14:textId="77777777" w:rsidTr="000B7D3F">
        <w:tc>
          <w:tcPr>
            <w:tcW w:w="2160" w:type="dxa"/>
            <w:tcBorders>
              <w:top w:val="single" w:sz="4" w:space="0" w:color="auto"/>
              <w:left w:val="single" w:sz="4" w:space="0" w:color="auto"/>
              <w:bottom w:val="single" w:sz="4" w:space="0" w:color="auto"/>
              <w:right w:val="single" w:sz="4" w:space="0" w:color="auto"/>
            </w:tcBorders>
            <w:hideMark/>
          </w:tcPr>
          <w:p w14:paraId="58B69BF6" w14:textId="77777777" w:rsidR="000B7D3F" w:rsidRPr="00C73922" w:rsidRDefault="000B7D3F">
            <w:pPr>
              <w:keepNext/>
              <w:keepLines/>
              <w:spacing w:after="0"/>
              <w:ind w:left="200"/>
              <w:rPr>
                <w:rFonts w:ascii="Arial" w:hAnsi="Arial" w:cs="Arial"/>
                <w:sz w:val="18"/>
                <w:highlight w:val="yellow"/>
                <w:lang w:eastAsia="zh-CN"/>
              </w:rPr>
            </w:pPr>
            <w:r w:rsidRPr="00C73922">
              <w:rPr>
                <w:rFonts w:ascii="Arial" w:hAnsi="Arial" w:cs="Arial"/>
                <w:sz w:val="18"/>
                <w:szCs w:val="18"/>
                <w:highlight w:val="yellow"/>
                <w:lang w:eastAsia="ja-JP"/>
              </w:rPr>
              <w:t xml:space="preserve">&gt;&gt;NR CGI for Target Logical </w:t>
            </w:r>
            <w:proofErr w:type="spellStart"/>
            <w:r w:rsidRPr="00C73922">
              <w:rPr>
                <w:rFonts w:ascii="Arial" w:hAnsi="Arial" w:cs="Arial"/>
                <w:sz w:val="18"/>
                <w:szCs w:val="18"/>
                <w:highlight w:val="yellow"/>
                <w:lang w:eastAsia="ja-JP"/>
              </w:rPr>
              <w:t>gNB</w:t>
            </w:r>
            <w:proofErr w:type="spellEnd"/>
            <w:r w:rsidRPr="00C73922">
              <w:rPr>
                <w:rFonts w:ascii="Arial" w:hAnsi="Arial" w:cs="Arial"/>
                <w:sz w:val="18"/>
                <w:szCs w:val="18"/>
                <w:highlight w:val="yellow"/>
                <w:lang w:eastAsia="ja-JP"/>
              </w:rPr>
              <w:t>-DU</w:t>
            </w:r>
          </w:p>
        </w:tc>
        <w:tc>
          <w:tcPr>
            <w:tcW w:w="1080" w:type="dxa"/>
            <w:tcBorders>
              <w:top w:val="single" w:sz="4" w:space="0" w:color="auto"/>
              <w:left w:val="single" w:sz="4" w:space="0" w:color="auto"/>
              <w:bottom w:val="single" w:sz="4" w:space="0" w:color="auto"/>
              <w:right w:val="single" w:sz="4" w:space="0" w:color="auto"/>
            </w:tcBorders>
            <w:hideMark/>
          </w:tcPr>
          <w:p w14:paraId="708A1E41" w14:textId="77777777" w:rsidR="000B7D3F" w:rsidRPr="00C73922" w:rsidRDefault="000B7D3F">
            <w:pPr>
              <w:pStyle w:val="TAL"/>
              <w:rPr>
                <w:rFonts w:cs="Arial"/>
                <w:highlight w:val="yellow"/>
                <w:lang w:eastAsia="zh-CN"/>
              </w:rPr>
            </w:pPr>
            <w:r w:rsidRPr="00C73922">
              <w:rPr>
                <w:rFonts w:cs="Arial"/>
                <w:szCs w:val="18"/>
                <w:highlight w:val="yellow"/>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B7A769" w14:textId="77777777" w:rsidR="000B7D3F" w:rsidRPr="00C73922" w:rsidRDefault="000B7D3F">
            <w:pPr>
              <w:pStyle w:val="TAL"/>
              <w:rPr>
                <w:rFonts w:cs="Arial"/>
                <w:highlight w:val="yellow"/>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099E5478" w14:textId="77777777" w:rsidR="000B7D3F" w:rsidRPr="00C73922" w:rsidRDefault="000B7D3F">
            <w:pPr>
              <w:pStyle w:val="TAL"/>
              <w:rPr>
                <w:rFonts w:cs="Arial"/>
                <w:highlight w:val="yellow"/>
                <w:lang w:eastAsia="ja-JP"/>
              </w:rPr>
            </w:pPr>
            <w:r w:rsidRPr="00C73922">
              <w:rPr>
                <w:highlight w:val="yellow"/>
                <w:lang w:eastAsia="zh-CN"/>
              </w:rPr>
              <w:t>NR CGI</w:t>
            </w:r>
            <w:r w:rsidRPr="00C73922">
              <w:rPr>
                <w:rFonts w:cs="Arial"/>
                <w:szCs w:val="18"/>
                <w:highlight w:val="yellow"/>
                <w:lang w:eastAsia="ja-JP"/>
              </w:rPr>
              <w:t xml:space="preserve"> 9.3.1.12</w:t>
            </w:r>
          </w:p>
        </w:tc>
        <w:tc>
          <w:tcPr>
            <w:tcW w:w="1728" w:type="dxa"/>
            <w:tcBorders>
              <w:top w:val="single" w:sz="4" w:space="0" w:color="auto"/>
              <w:left w:val="single" w:sz="4" w:space="0" w:color="auto"/>
              <w:bottom w:val="single" w:sz="4" w:space="0" w:color="auto"/>
              <w:right w:val="single" w:sz="4" w:space="0" w:color="auto"/>
            </w:tcBorders>
            <w:hideMark/>
          </w:tcPr>
          <w:p w14:paraId="1A1B33AC" w14:textId="77777777" w:rsidR="000B7D3F" w:rsidRPr="00C73922" w:rsidRDefault="000B7D3F">
            <w:pPr>
              <w:pStyle w:val="TAL"/>
              <w:rPr>
                <w:highlight w:val="yellow"/>
                <w:lang w:eastAsia="zh-CN"/>
              </w:rPr>
            </w:pPr>
            <w:r w:rsidRPr="00C73922">
              <w:rPr>
                <w:highlight w:val="yellow"/>
                <w:lang w:eastAsia="zh-CN"/>
              </w:rPr>
              <w:t xml:space="preserve">The </w:t>
            </w:r>
            <w:r w:rsidRPr="00C73922">
              <w:rPr>
                <w:rFonts w:eastAsia="SimSun"/>
                <w:highlight w:val="yellow"/>
                <w:lang w:val="en-US" w:eastAsia="zh-CN"/>
              </w:rPr>
              <w:t>identity</w:t>
            </w:r>
            <w:r w:rsidRPr="00C73922">
              <w:rPr>
                <w:highlight w:val="yellow"/>
                <w:lang w:eastAsia="zh-CN"/>
              </w:rPr>
              <w:t xml:space="preserve"> of an activated cell </w:t>
            </w:r>
            <w:r w:rsidRPr="00C73922">
              <w:rPr>
                <w:rFonts w:eastAsia="SimSun"/>
                <w:highlight w:val="yellow"/>
                <w:lang w:val="en-US" w:eastAsia="zh-CN"/>
              </w:rPr>
              <w:t>belonging to</w:t>
            </w:r>
            <w:r w:rsidRPr="00C73922">
              <w:rPr>
                <w:highlight w:val="yellow"/>
                <w:lang w:eastAsia="zh-CN"/>
              </w:rPr>
              <w:t xml:space="preserve"> the target logical </w:t>
            </w:r>
            <w:proofErr w:type="spellStart"/>
            <w:r w:rsidRPr="00C73922">
              <w:rPr>
                <w:highlight w:val="yellow"/>
                <w:lang w:eastAsia="zh-CN"/>
              </w:rPr>
              <w:t>gNB</w:t>
            </w:r>
            <w:proofErr w:type="spellEnd"/>
            <w:r w:rsidRPr="00C73922">
              <w:rPr>
                <w:highlight w:val="yellow"/>
                <w:lang w:eastAsia="zh-CN"/>
              </w:rPr>
              <w:t>-DU of the mobile IAB-node</w:t>
            </w:r>
          </w:p>
        </w:tc>
        <w:tc>
          <w:tcPr>
            <w:tcW w:w="1080" w:type="dxa"/>
            <w:tcBorders>
              <w:top w:val="single" w:sz="4" w:space="0" w:color="auto"/>
              <w:left w:val="single" w:sz="4" w:space="0" w:color="auto"/>
              <w:bottom w:val="single" w:sz="4" w:space="0" w:color="auto"/>
              <w:right w:val="single" w:sz="4" w:space="0" w:color="auto"/>
            </w:tcBorders>
            <w:hideMark/>
          </w:tcPr>
          <w:p w14:paraId="209A0A2E" w14:textId="77777777" w:rsidR="000B7D3F" w:rsidRDefault="000B7D3F">
            <w:pPr>
              <w:pStyle w:val="TAC"/>
              <w:rPr>
                <w:rFonts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853F22" w14:textId="77777777" w:rsidR="000B7D3F" w:rsidRDefault="000B7D3F">
            <w:pPr>
              <w:pStyle w:val="TAC"/>
              <w:rPr>
                <w:rFonts w:cs="Arial"/>
                <w:lang w:eastAsia="zh-CN"/>
              </w:rPr>
            </w:pPr>
          </w:p>
        </w:tc>
      </w:tr>
      <w:tr w:rsidR="000B7D3F" w14:paraId="2C78B53C" w14:textId="77777777" w:rsidTr="000B7D3F">
        <w:tc>
          <w:tcPr>
            <w:tcW w:w="2160" w:type="dxa"/>
            <w:tcBorders>
              <w:top w:val="single" w:sz="4" w:space="0" w:color="auto"/>
              <w:left w:val="single" w:sz="4" w:space="0" w:color="auto"/>
              <w:bottom w:val="single" w:sz="4" w:space="0" w:color="auto"/>
              <w:right w:val="single" w:sz="4" w:space="0" w:color="auto"/>
            </w:tcBorders>
            <w:hideMark/>
          </w:tcPr>
          <w:p w14:paraId="325BF959" w14:textId="77777777" w:rsidR="000B7D3F" w:rsidRPr="00C73922" w:rsidRDefault="000B7D3F">
            <w:pPr>
              <w:keepNext/>
              <w:keepLines/>
              <w:spacing w:after="0"/>
              <w:ind w:left="200"/>
              <w:rPr>
                <w:rFonts w:ascii="Arial" w:hAnsi="Arial" w:cs="Arial"/>
                <w:sz w:val="18"/>
                <w:szCs w:val="18"/>
                <w:highlight w:val="yellow"/>
                <w:lang w:eastAsia="ja-JP"/>
              </w:rPr>
            </w:pPr>
            <w:r w:rsidRPr="00C73922">
              <w:rPr>
                <w:rFonts w:ascii="Arial" w:hAnsi="Arial" w:cs="Arial"/>
                <w:sz w:val="18"/>
                <w:szCs w:val="18"/>
                <w:highlight w:val="yellow"/>
                <w:lang w:eastAsia="ja-JP"/>
              </w:rPr>
              <w:t xml:space="preserve">&gt;&gt;NR CGI for Source Logical </w:t>
            </w:r>
            <w:proofErr w:type="spellStart"/>
            <w:r w:rsidRPr="00C73922">
              <w:rPr>
                <w:rFonts w:ascii="Arial" w:hAnsi="Arial" w:cs="Arial"/>
                <w:sz w:val="18"/>
                <w:szCs w:val="18"/>
                <w:highlight w:val="yellow"/>
                <w:lang w:eastAsia="ja-JP"/>
              </w:rPr>
              <w:t>gNB</w:t>
            </w:r>
            <w:proofErr w:type="spellEnd"/>
            <w:r w:rsidRPr="00C73922">
              <w:rPr>
                <w:rFonts w:ascii="Arial" w:hAnsi="Arial" w:cs="Arial"/>
                <w:sz w:val="18"/>
                <w:szCs w:val="18"/>
                <w:highlight w:val="yellow"/>
                <w:lang w:eastAsia="ja-JP"/>
              </w:rPr>
              <w:t>-DU</w:t>
            </w:r>
          </w:p>
        </w:tc>
        <w:tc>
          <w:tcPr>
            <w:tcW w:w="1080" w:type="dxa"/>
            <w:tcBorders>
              <w:top w:val="single" w:sz="4" w:space="0" w:color="auto"/>
              <w:left w:val="single" w:sz="4" w:space="0" w:color="auto"/>
              <w:bottom w:val="single" w:sz="4" w:space="0" w:color="auto"/>
              <w:right w:val="single" w:sz="4" w:space="0" w:color="auto"/>
            </w:tcBorders>
            <w:hideMark/>
          </w:tcPr>
          <w:p w14:paraId="0D798BEC" w14:textId="77777777" w:rsidR="000B7D3F" w:rsidRPr="00C73922" w:rsidRDefault="000B7D3F">
            <w:pPr>
              <w:pStyle w:val="TAL"/>
              <w:rPr>
                <w:rFonts w:cs="Arial"/>
                <w:szCs w:val="18"/>
                <w:highlight w:val="yellow"/>
                <w:lang w:eastAsia="ja-JP"/>
              </w:rPr>
            </w:pPr>
            <w:r w:rsidRPr="00C73922">
              <w:rPr>
                <w:rFonts w:cs="Arial"/>
                <w:szCs w:val="18"/>
                <w:highlight w:val="yellow"/>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AF9A63E" w14:textId="77777777" w:rsidR="000B7D3F" w:rsidRPr="00C73922" w:rsidRDefault="000B7D3F">
            <w:pPr>
              <w:pStyle w:val="TAL"/>
              <w:rPr>
                <w:rFonts w:cs="Arial"/>
                <w:highlight w:val="yellow"/>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266B5345" w14:textId="77777777" w:rsidR="000B7D3F" w:rsidRPr="00C73922" w:rsidRDefault="000B7D3F">
            <w:pPr>
              <w:pStyle w:val="TAL"/>
              <w:rPr>
                <w:rFonts w:cs="Arial"/>
                <w:szCs w:val="18"/>
                <w:highlight w:val="yellow"/>
                <w:lang w:eastAsia="ja-JP"/>
              </w:rPr>
            </w:pPr>
            <w:r w:rsidRPr="00C73922">
              <w:rPr>
                <w:highlight w:val="yellow"/>
                <w:lang w:eastAsia="zh-CN"/>
              </w:rPr>
              <w:t>NR CGI</w:t>
            </w:r>
            <w:r w:rsidRPr="00C73922">
              <w:rPr>
                <w:rFonts w:cs="Arial"/>
                <w:szCs w:val="18"/>
                <w:highlight w:val="yellow"/>
                <w:lang w:eastAsia="ja-JP"/>
              </w:rPr>
              <w:t xml:space="preserve"> 9.3.1.12</w:t>
            </w:r>
          </w:p>
        </w:tc>
        <w:tc>
          <w:tcPr>
            <w:tcW w:w="1728" w:type="dxa"/>
            <w:tcBorders>
              <w:top w:val="single" w:sz="4" w:space="0" w:color="auto"/>
              <w:left w:val="single" w:sz="4" w:space="0" w:color="auto"/>
              <w:bottom w:val="single" w:sz="4" w:space="0" w:color="auto"/>
              <w:right w:val="single" w:sz="4" w:space="0" w:color="auto"/>
            </w:tcBorders>
            <w:hideMark/>
          </w:tcPr>
          <w:p w14:paraId="7E664120" w14:textId="77777777" w:rsidR="000B7D3F" w:rsidRPr="00C73922" w:rsidRDefault="000B7D3F">
            <w:pPr>
              <w:pStyle w:val="TAL"/>
              <w:rPr>
                <w:highlight w:val="yellow"/>
                <w:lang w:eastAsia="zh-CN"/>
              </w:rPr>
            </w:pPr>
            <w:r w:rsidRPr="00C73922">
              <w:rPr>
                <w:highlight w:val="yellow"/>
                <w:lang w:eastAsia="zh-CN"/>
              </w:rPr>
              <w:t>The</w:t>
            </w:r>
            <w:r w:rsidRPr="00C73922">
              <w:rPr>
                <w:rFonts w:eastAsia="SimSun"/>
                <w:highlight w:val="yellow"/>
                <w:lang w:val="en-US" w:eastAsia="zh-CN"/>
              </w:rPr>
              <w:t xml:space="preserve"> identity</w:t>
            </w:r>
            <w:r w:rsidRPr="00C73922">
              <w:rPr>
                <w:highlight w:val="yellow"/>
                <w:lang w:eastAsia="zh-CN"/>
              </w:rPr>
              <w:t xml:space="preserve"> of an activated cell </w:t>
            </w:r>
            <w:r w:rsidRPr="00C73922">
              <w:rPr>
                <w:rFonts w:eastAsia="SimSun"/>
                <w:highlight w:val="yellow"/>
                <w:lang w:val="en-US" w:eastAsia="zh-CN"/>
              </w:rPr>
              <w:t xml:space="preserve">belonging to </w:t>
            </w:r>
            <w:r w:rsidRPr="00C73922">
              <w:rPr>
                <w:highlight w:val="yellow"/>
                <w:lang w:eastAsia="zh-CN"/>
              </w:rPr>
              <w:t xml:space="preserve">the source logical </w:t>
            </w:r>
            <w:proofErr w:type="spellStart"/>
            <w:r w:rsidRPr="00C73922">
              <w:rPr>
                <w:highlight w:val="yellow"/>
                <w:lang w:eastAsia="zh-CN"/>
              </w:rPr>
              <w:t>gNB</w:t>
            </w:r>
            <w:proofErr w:type="spellEnd"/>
            <w:r w:rsidRPr="00C73922">
              <w:rPr>
                <w:highlight w:val="yellow"/>
                <w:lang w:eastAsia="zh-CN"/>
              </w:rPr>
              <w:t>-DU of the mobile IAB-node</w:t>
            </w:r>
          </w:p>
        </w:tc>
        <w:tc>
          <w:tcPr>
            <w:tcW w:w="1080" w:type="dxa"/>
            <w:tcBorders>
              <w:top w:val="single" w:sz="4" w:space="0" w:color="auto"/>
              <w:left w:val="single" w:sz="4" w:space="0" w:color="auto"/>
              <w:bottom w:val="single" w:sz="4" w:space="0" w:color="auto"/>
              <w:right w:val="single" w:sz="4" w:space="0" w:color="auto"/>
            </w:tcBorders>
            <w:hideMark/>
          </w:tcPr>
          <w:p w14:paraId="33DD5845" w14:textId="77777777" w:rsidR="000B7D3F" w:rsidRDefault="000B7D3F">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901B6B" w14:textId="77777777" w:rsidR="000B7D3F" w:rsidRDefault="000B7D3F">
            <w:pPr>
              <w:pStyle w:val="TAC"/>
              <w:rPr>
                <w:rFonts w:cs="Arial"/>
                <w:lang w:eastAsia="zh-CN"/>
              </w:rPr>
            </w:pPr>
          </w:p>
        </w:tc>
      </w:tr>
    </w:tbl>
    <w:p w14:paraId="2DCD7EB6" w14:textId="77777777" w:rsidR="000B7D3F" w:rsidRDefault="000B7D3F" w:rsidP="000B7D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B7D3F" w14:paraId="57A528A0" w14:textId="77777777" w:rsidTr="000B7D3F">
        <w:trPr>
          <w:trHeight w:val="271"/>
        </w:trPr>
        <w:tc>
          <w:tcPr>
            <w:tcW w:w="3686" w:type="dxa"/>
            <w:tcBorders>
              <w:top w:val="single" w:sz="4" w:space="0" w:color="auto"/>
              <w:left w:val="single" w:sz="4" w:space="0" w:color="auto"/>
              <w:bottom w:val="single" w:sz="4" w:space="0" w:color="auto"/>
              <w:right w:val="single" w:sz="4" w:space="0" w:color="auto"/>
            </w:tcBorders>
            <w:hideMark/>
          </w:tcPr>
          <w:p w14:paraId="3F82E3A2" w14:textId="77777777" w:rsidR="000B7D3F" w:rsidRDefault="000B7D3F">
            <w:pPr>
              <w:pStyle w:val="TAH"/>
              <w:rPr>
                <w:lang w:eastAsia="zh-CN"/>
              </w:rPr>
            </w:pPr>
            <w:r>
              <w:rPr>
                <w:lang w:eastAsia="zh-CN"/>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B639DB0" w14:textId="77777777" w:rsidR="000B7D3F" w:rsidRDefault="000B7D3F">
            <w:pPr>
              <w:pStyle w:val="TAH"/>
              <w:rPr>
                <w:lang w:eastAsia="zh-CN"/>
              </w:rPr>
            </w:pPr>
            <w:r>
              <w:rPr>
                <w:lang w:eastAsia="zh-CN"/>
              </w:rPr>
              <w:t>Explanation</w:t>
            </w:r>
          </w:p>
        </w:tc>
      </w:tr>
      <w:tr w:rsidR="000B7D3F" w14:paraId="078EAABA" w14:textId="77777777" w:rsidTr="000B7D3F">
        <w:trPr>
          <w:trHeight w:val="271"/>
        </w:trPr>
        <w:tc>
          <w:tcPr>
            <w:tcW w:w="3686" w:type="dxa"/>
            <w:tcBorders>
              <w:top w:val="single" w:sz="4" w:space="0" w:color="auto"/>
              <w:left w:val="single" w:sz="4" w:space="0" w:color="auto"/>
              <w:bottom w:val="single" w:sz="4" w:space="0" w:color="auto"/>
              <w:right w:val="single" w:sz="4" w:space="0" w:color="auto"/>
            </w:tcBorders>
            <w:hideMark/>
          </w:tcPr>
          <w:p w14:paraId="76146B19" w14:textId="77777777" w:rsidR="000B7D3F" w:rsidRDefault="000B7D3F">
            <w:pPr>
              <w:pStyle w:val="TAL"/>
              <w:rPr>
                <w:rFonts w:eastAsia="SimSun"/>
                <w:lang w:val="en-US" w:eastAsia="zh-CN"/>
              </w:rPr>
            </w:pPr>
            <w:proofErr w:type="spellStart"/>
            <w:r>
              <w:rPr>
                <w:lang w:eastAsia="zh-CN"/>
              </w:rP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85D8A48" w14:textId="77777777" w:rsidR="000B7D3F" w:rsidRDefault="000B7D3F">
            <w:pPr>
              <w:pStyle w:val="TAL"/>
              <w:rPr>
                <w:rFonts w:eastAsia="SimSun"/>
                <w:lang w:val="en-US" w:eastAsia="zh-CN"/>
              </w:rPr>
            </w:pPr>
            <w:r>
              <w:rPr>
                <w:lang w:eastAsia="zh-CN"/>
              </w:rPr>
              <w:t xml:space="preserve">Maximum no. cells that can be served by a </w:t>
            </w:r>
            <w:proofErr w:type="spellStart"/>
            <w:r>
              <w:rPr>
                <w:lang w:eastAsia="zh-CN"/>
              </w:rPr>
              <w:t>gNB</w:t>
            </w:r>
            <w:proofErr w:type="spellEnd"/>
            <w:r>
              <w:rPr>
                <w:lang w:eastAsia="zh-CN"/>
              </w:rPr>
              <w:t>-DU. Value is 512.</w:t>
            </w:r>
          </w:p>
        </w:tc>
      </w:tr>
    </w:tbl>
    <w:p w14:paraId="05DD0ADF" w14:textId="77777777" w:rsidR="00CA4E82" w:rsidRPr="00A209D6" w:rsidRDefault="00CA4E82" w:rsidP="00DC49DE"/>
    <w:sectPr w:rsidR="00CA4E82" w:rsidRPr="00A209D6">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29347" w14:textId="77777777" w:rsidR="00E110D9" w:rsidRDefault="00E110D9">
      <w:r>
        <w:separator/>
      </w:r>
    </w:p>
  </w:endnote>
  <w:endnote w:type="continuationSeparator" w:id="0">
    <w:p w14:paraId="597CB7C2" w14:textId="77777777" w:rsidR="00E110D9" w:rsidRDefault="00E110D9">
      <w:r>
        <w:continuationSeparator/>
      </w:r>
    </w:p>
  </w:endnote>
  <w:endnote w:type="continuationNotice" w:id="1">
    <w:p w14:paraId="124E157F" w14:textId="77777777" w:rsidR="00E110D9" w:rsidRDefault="00E110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9C2D0" w14:textId="77777777" w:rsidR="00E110D9" w:rsidRDefault="00E110D9">
      <w:r>
        <w:separator/>
      </w:r>
    </w:p>
  </w:footnote>
  <w:footnote w:type="continuationSeparator" w:id="0">
    <w:p w14:paraId="6832BE66" w14:textId="77777777" w:rsidR="00E110D9" w:rsidRDefault="00E110D9">
      <w:r>
        <w:continuationSeparator/>
      </w:r>
    </w:p>
  </w:footnote>
  <w:footnote w:type="continuationNotice" w:id="1">
    <w:p w14:paraId="2E2E15B6" w14:textId="77777777" w:rsidR="00E110D9" w:rsidRDefault="00E110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FC2A54"/>
    <w:multiLevelType w:val="hybridMultilevel"/>
    <w:tmpl w:val="43044E3A"/>
    <w:lvl w:ilvl="0" w:tplc="68CEFD2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E1647E"/>
    <w:multiLevelType w:val="hybridMultilevel"/>
    <w:tmpl w:val="B2BC6662"/>
    <w:lvl w:ilvl="0" w:tplc="E990FE3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0518BA"/>
    <w:multiLevelType w:val="hybridMultilevel"/>
    <w:tmpl w:val="BB52C02E"/>
    <w:lvl w:ilvl="0" w:tplc="E728739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4187328"/>
    <w:multiLevelType w:val="hybridMultilevel"/>
    <w:tmpl w:val="BD20E6DC"/>
    <w:lvl w:ilvl="0" w:tplc="0162506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4D4D6D"/>
    <w:multiLevelType w:val="multilevel"/>
    <w:tmpl w:val="16AC2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A81D10"/>
    <w:multiLevelType w:val="hybridMultilevel"/>
    <w:tmpl w:val="CC3CB2B8"/>
    <w:lvl w:ilvl="0" w:tplc="A6B881D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9814E4"/>
    <w:multiLevelType w:val="hybridMultilevel"/>
    <w:tmpl w:val="4AEA8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4"/>
  </w:num>
  <w:num w:numId="6" w16cid:durableId="1154301696">
    <w:abstractNumId w:val="7"/>
  </w:num>
  <w:num w:numId="7" w16cid:durableId="1489399165">
    <w:abstractNumId w:val="8"/>
  </w:num>
  <w:num w:numId="8" w16cid:durableId="224873732">
    <w:abstractNumId w:val="10"/>
  </w:num>
  <w:num w:numId="9" w16cid:durableId="572588581">
    <w:abstractNumId w:val="11"/>
  </w:num>
  <w:num w:numId="10" w16cid:durableId="1457527158">
    <w:abstractNumId w:val="9"/>
  </w:num>
  <w:num w:numId="11" w16cid:durableId="943029844">
    <w:abstractNumId w:val="2"/>
  </w:num>
  <w:num w:numId="12" w16cid:durableId="303049579">
    <w:abstractNumId w:val="12"/>
  </w:num>
  <w:num w:numId="13" w16cid:durableId="28380083">
    <w:abstractNumId w:val="6"/>
  </w:num>
  <w:num w:numId="14" w16cid:durableId="1167748502">
    <w:abstractNumId w:val="3"/>
  </w:num>
  <w:num w:numId="15" w16cid:durableId="1446343521">
    <w:abstractNumId w:val="13"/>
  </w:num>
  <w:num w:numId="16" w16cid:durableId="1034966718">
    <w:abstractNumId w:val="11"/>
  </w:num>
  <w:num w:numId="17" w16cid:durableId="364017292">
    <w:abstractNumId w:val="11"/>
  </w:num>
  <w:num w:numId="18" w16cid:durableId="5775929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E28"/>
    <w:rsid w:val="00005B86"/>
    <w:rsid w:val="00005E1C"/>
    <w:rsid w:val="00006C10"/>
    <w:rsid w:val="000126E6"/>
    <w:rsid w:val="0001448C"/>
    <w:rsid w:val="00016557"/>
    <w:rsid w:val="00021BF3"/>
    <w:rsid w:val="00021E23"/>
    <w:rsid w:val="00023C40"/>
    <w:rsid w:val="00033397"/>
    <w:rsid w:val="000355B1"/>
    <w:rsid w:val="00037D5F"/>
    <w:rsid w:val="00037F4C"/>
    <w:rsid w:val="00040095"/>
    <w:rsid w:val="0004540A"/>
    <w:rsid w:val="0005237E"/>
    <w:rsid w:val="0005615F"/>
    <w:rsid w:val="000614D9"/>
    <w:rsid w:val="00065268"/>
    <w:rsid w:val="00065E09"/>
    <w:rsid w:val="00070491"/>
    <w:rsid w:val="000718BC"/>
    <w:rsid w:val="00073C9C"/>
    <w:rsid w:val="00076412"/>
    <w:rsid w:val="00080512"/>
    <w:rsid w:val="000820E2"/>
    <w:rsid w:val="00085C25"/>
    <w:rsid w:val="00090468"/>
    <w:rsid w:val="00090765"/>
    <w:rsid w:val="00090FDB"/>
    <w:rsid w:val="0009348C"/>
    <w:rsid w:val="00094380"/>
    <w:rsid w:val="00094568"/>
    <w:rsid w:val="000A0158"/>
    <w:rsid w:val="000A246C"/>
    <w:rsid w:val="000A5910"/>
    <w:rsid w:val="000B14D2"/>
    <w:rsid w:val="000B3776"/>
    <w:rsid w:val="000B3A94"/>
    <w:rsid w:val="000B4EB8"/>
    <w:rsid w:val="000B7BCF"/>
    <w:rsid w:val="000B7D3F"/>
    <w:rsid w:val="000C1DA6"/>
    <w:rsid w:val="000C27CE"/>
    <w:rsid w:val="000C27FD"/>
    <w:rsid w:val="000C522B"/>
    <w:rsid w:val="000D4383"/>
    <w:rsid w:val="000D4758"/>
    <w:rsid w:val="000D4951"/>
    <w:rsid w:val="000D58AB"/>
    <w:rsid w:val="000E1014"/>
    <w:rsid w:val="000E13E3"/>
    <w:rsid w:val="000F02E9"/>
    <w:rsid w:val="000F29AA"/>
    <w:rsid w:val="000F34CF"/>
    <w:rsid w:val="000F36B1"/>
    <w:rsid w:val="000F49E0"/>
    <w:rsid w:val="000F5382"/>
    <w:rsid w:val="001047C5"/>
    <w:rsid w:val="00112531"/>
    <w:rsid w:val="00112F1A"/>
    <w:rsid w:val="001151A6"/>
    <w:rsid w:val="0011598B"/>
    <w:rsid w:val="00123DE2"/>
    <w:rsid w:val="001341FE"/>
    <w:rsid w:val="00145075"/>
    <w:rsid w:val="001479A1"/>
    <w:rsid w:val="00150DF4"/>
    <w:rsid w:val="001623B7"/>
    <w:rsid w:val="00166CC5"/>
    <w:rsid w:val="001741A0"/>
    <w:rsid w:val="00175FA0"/>
    <w:rsid w:val="001811C1"/>
    <w:rsid w:val="00185D4C"/>
    <w:rsid w:val="00187E75"/>
    <w:rsid w:val="0019075D"/>
    <w:rsid w:val="001942F8"/>
    <w:rsid w:val="001945F5"/>
    <w:rsid w:val="00194CD0"/>
    <w:rsid w:val="001A17A9"/>
    <w:rsid w:val="001A2EF4"/>
    <w:rsid w:val="001A7D7D"/>
    <w:rsid w:val="001B116B"/>
    <w:rsid w:val="001B13BE"/>
    <w:rsid w:val="001B29BE"/>
    <w:rsid w:val="001B49C9"/>
    <w:rsid w:val="001C1B6E"/>
    <w:rsid w:val="001C23F4"/>
    <w:rsid w:val="001C4F79"/>
    <w:rsid w:val="001C6F70"/>
    <w:rsid w:val="001D093D"/>
    <w:rsid w:val="001D17F0"/>
    <w:rsid w:val="001D232A"/>
    <w:rsid w:val="001D30A8"/>
    <w:rsid w:val="001E09BC"/>
    <w:rsid w:val="001E447F"/>
    <w:rsid w:val="001E5E64"/>
    <w:rsid w:val="001F168B"/>
    <w:rsid w:val="001F32F4"/>
    <w:rsid w:val="001F7831"/>
    <w:rsid w:val="00203E6C"/>
    <w:rsid w:val="00204045"/>
    <w:rsid w:val="0020712B"/>
    <w:rsid w:val="00213AE9"/>
    <w:rsid w:val="00222D3F"/>
    <w:rsid w:val="00225B5D"/>
    <w:rsid w:val="0022606D"/>
    <w:rsid w:val="0022795C"/>
    <w:rsid w:val="00231160"/>
    <w:rsid w:val="00231728"/>
    <w:rsid w:val="00233B9B"/>
    <w:rsid w:val="002352BF"/>
    <w:rsid w:val="00235E1B"/>
    <w:rsid w:val="00236036"/>
    <w:rsid w:val="00243E64"/>
    <w:rsid w:val="00244A05"/>
    <w:rsid w:val="00244AF5"/>
    <w:rsid w:val="002469CC"/>
    <w:rsid w:val="00247B10"/>
    <w:rsid w:val="00250404"/>
    <w:rsid w:val="0025285C"/>
    <w:rsid w:val="0025379A"/>
    <w:rsid w:val="00256B74"/>
    <w:rsid w:val="002572B9"/>
    <w:rsid w:val="002610D8"/>
    <w:rsid w:val="00264BCE"/>
    <w:rsid w:val="0027058C"/>
    <w:rsid w:val="00270AA8"/>
    <w:rsid w:val="002747EC"/>
    <w:rsid w:val="0027569B"/>
    <w:rsid w:val="00277F09"/>
    <w:rsid w:val="00280184"/>
    <w:rsid w:val="002807C4"/>
    <w:rsid w:val="00282E06"/>
    <w:rsid w:val="002855BF"/>
    <w:rsid w:val="002A0EDD"/>
    <w:rsid w:val="002A34BD"/>
    <w:rsid w:val="002B2988"/>
    <w:rsid w:val="002B4EAD"/>
    <w:rsid w:val="002B5880"/>
    <w:rsid w:val="002B6B15"/>
    <w:rsid w:val="002B7591"/>
    <w:rsid w:val="002C4EF1"/>
    <w:rsid w:val="002D1FEB"/>
    <w:rsid w:val="002D73B8"/>
    <w:rsid w:val="002E05FC"/>
    <w:rsid w:val="002E1737"/>
    <w:rsid w:val="002E7F74"/>
    <w:rsid w:val="002F0B55"/>
    <w:rsid w:val="002F0D22"/>
    <w:rsid w:val="002F235B"/>
    <w:rsid w:val="002F4A32"/>
    <w:rsid w:val="002F79C7"/>
    <w:rsid w:val="00300978"/>
    <w:rsid w:val="00306E6C"/>
    <w:rsid w:val="00307FE2"/>
    <w:rsid w:val="00311B17"/>
    <w:rsid w:val="00314389"/>
    <w:rsid w:val="00315ABA"/>
    <w:rsid w:val="003172DC"/>
    <w:rsid w:val="003177D7"/>
    <w:rsid w:val="003256B1"/>
    <w:rsid w:val="00325AE3"/>
    <w:rsid w:val="00326069"/>
    <w:rsid w:val="003363A5"/>
    <w:rsid w:val="00337665"/>
    <w:rsid w:val="00343104"/>
    <w:rsid w:val="00343E0B"/>
    <w:rsid w:val="00345B4F"/>
    <w:rsid w:val="0034647D"/>
    <w:rsid w:val="003505FF"/>
    <w:rsid w:val="0035462D"/>
    <w:rsid w:val="003619B8"/>
    <w:rsid w:val="00362A9F"/>
    <w:rsid w:val="0036459E"/>
    <w:rsid w:val="00364B41"/>
    <w:rsid w:val="00370630"/>
    <w:rsid w:val="00372676"/>
    <w:rsid w:val="00374379"/>
    <w:rsid w:val="00375A85"/>
    <w:rsid w:val="00377DF5"/>
    <w:rsid w:val="00380695"/>
    <w:rsid w:val="00383096"/>
    <w:rsid w:val="00390D93"/>
    <w:rsid w:val="0039346C"/>
    <w:rsid w:val="00396B75"/>
    <w:rsid w:val="003A0A88"/>
    <w:rsid w:val="003A23C1"/>
    <w:rsid w:val="003A41EF"/>
    <w:rsid w:val="003A7DB0"/>
    <w:rsid w:val="003B249D"/>
    <w:rsid w:val="003B40AD"/>
    <w:rsid w:val="003C1AB1"/>
    <w:rsid w:val="003C4922"/>
    <w:rsid w:val="003C4E37"/>
    <w:rsid w:val="003D0FD0"/>
    <w:rsid w:val="003D1EF7"/>
    <w:rsid w:val="003D7FB3"/>
    <w:rsid w:val="003E16BE"/>
    <w:rsid w:val="003E3079"/>
    <w:rsid w:val="003E58B0"/>
    <w:rsid w:val="003F4E28"/>
    <w:rsid w:val="003F76F4"/>
    <w:rsid w:val="004006E8"/>
    <w:rsid w:val="0040162F"/>
    <w:rsid w:val="00401855"/>
    <w:rsid w:val="004039BC"/>
    <w:rsid w:val="004146BA"/>
    <w:rsid w:val="00421E15"/>
    <w:rsid w:val="004237E8"/>
    <w:rsid w:val="004300DF"/>
    <w:rsid w:val="00430C87"/>
    <w:rsid w:val="0043409A"/>
    <w:rsid w:val="00435855"/>
    <w:rsid w:val="00437BA2"/>
    <w:rsid w:val="00446C3A"/>
    <w:rsid w:val="00446E64"/>
    <w:rsid w:val="00447FD3"/>
    <w:rsid w:val="00456BF0"/>
    <w:rsid w:val="00465587"/>
    <w:rsid w:val="0046637E"/>
    <w:rsid w:val="00467804"/>
    <w:rsid w:val="004731BF"/>
    <w:rsid w:val="00473FE3"/>
    <w:rsid w:val="00477455"/>
    <w:rsid w:val="00482134"/>
    <w:rsid w:val="0048568C"/>
    <w:rsid w:val="00493FA0"/>
    <w:rsid w:val="004941A0"/>
    <w:rsid w:val="004A1F7B"/>
    <w:rsid w:val="004B3027"/>
    <w:rsid w:val="004B786C"/>
    <w:rsid w:val="004C44D2"/>
    <w:rsid w:val="004D3578"/>
    <w:rsid w:val="004D380D"/>
    <w:rsid w:val="004E213A"/>
    <w:rsid w:val="004E23D6"/>
    <w:rsid w:val="004F0106"/>
    <w:rsid w:val="004F0B1F"/>
    <w:rsid w:val="004F3271"/>
    <w:rsid w:val="004F4540"/>
    <w:rsid w:val="004F4ED9"/>
    <w:rsid w:val="004F73A7"/>
    <w:rsid w:val="004F776C"/>
    <w:rsid w:val="00503171"/>
    <w:rsid w:val="00503959"/>
    <w:rsid w:val="00503DB9"/>
    <w:rsid w:val="00506C28"/>
    <w:rsid w:val="00507583"/>
    <w:rsid w:val="0051053C"/>
    <w:rsid w:val="0051710B"/>
    <w:rsid w:val="005171EF"/>
    <w:rsid w:val="00522E67"/>
    <w:rsid w:val="0052345D"/>
    <w:rsid w:val="005251C2"/>
    <w:rsid w:val="00525E26"/>
    <w:rsid w:val="005275DB"/>
    <w:rsid w:val="00531EAC"/>
    <w:rsid w:val="005323FA"/>
    <w:rsid w:val="00534DA0"/>
    <w:rsid w:val="0053517E"/>
    <w:rsid w:val="00543E6C"/>
    <w:rsid w:val="00544781"/>
    <w:rsid w:val="00545234"/>
    <w:rsid w:val="00545A95"/>
    <w:rsid w:val="00546DD4"/>
    <w:rsid w:val="005553DC"/>
    <w:rsid w:val="00555D9D"/>
    <w:rsid w:val="0055619F"/>
    <w:rsid w:val="00565087"/>
    <w:rsid w:val="0056573F"/>
    <w:rsid w:val="00571279"/>
    <w:rsid w:val="00574CA7"/>
    <w:rsid w:val="005774E7"/>
    <w:rsid w:val="00580D24"/>
    <w:rsid w:val="00582346"/>
    <w:rsid w:val="00587C75"/>
    <w:rsid w:val="00590247"/>
    <w:rsid w:val="0059106B"/>
    <w:rsid w:val="00592C4B"/>
    <w:rsid w:val="00593520"/>
    <w:rsid w:val="00594480"/>
    <w:rsid w:val="005A13AB"/>
    <w:rsid w:val="005A1B6A"/>
    <w:rsid w:val="005A49C6"/>
    <w:rsid w:val="005C28AB"/>
    <w:rsid w:val="005C766E"/>
    <w:rsid w:val="005C7CD5"/>
    <w:rsid w:val="005D5A95"/>
    <w:rsid w:val="005D6702"/>
    <w:rsid w:val="005D6E77"/>
    <w:rsid w:val="005E34F2"/>
    <w:rsid w:val="005E3844"/>
    <w:rsid w:val="006017F6"/>
    <w:rsid w:val="00605C17"/>
    <w:rsid w:val="006075CA"/>
    <w:rsid w:val="00611566"/>
    <w:rsid w:val="00611E55"/>
    <w:rsid w:val="00624D8D"/>
    <w:rsid w:val="0063098A"/>
    <w:rsid w:val="00633F71"/>
    <w:rsid w:val="00636469"/>
    <w:rsid w:val="00643ACE"/>
    <w:rsid w:val="00646D99"/>
    <w:rsid w:val="00652FDA"/>
    <w:rsid w:val="00656910"/>
    <w:rsid w:val="00656E32"/>
    <w:rsid w:val="006574C0"/>
    <w:rsid w:val="00663CBD"/>
    <w:rsid w:val="00663F73"/>
    <w:rsid w:val="00667FA9"/>
    <w:rsid w:val="00670978"/>
    <w:rsid w:val="00675DD9"/>
    <w:rsid w:val="00676E9A"/>
    <w:rsid w:val="006817E6"/>
    <w:rsid w:val="006908CE"/>
    <w:rsid w:val="00694ADD"/>
    <w:rsid w:val="00695685"/>
    <w:rsid w:val="00696821"/>
    <w:rsid w:val="006A39F0"/>
    <w:rsid w:val="006A59E0"/>
    <w:rsid w:val="006B2B54"/>
    <w:rsid w:val="006B3C88"/>
    <w:rsid w:val="006B57F5"/>
    <w:rsid w:val="006B79B6"/>
    <w:rsid w:val="006B7D9F"/>
    <w:rsid w:val="006C66D8"/>
    <w:rsid w:val="006D1E24"/>
    <w:rsid w:val="006D2C64"/>
    <w:rsid w:val="006D35DE"/>
    <w:rsid w:val="006D3FC2"/>
    <w:rsid w:val="006E09C0"/>
    <w:rsid w:val="006E1057"/>
    <w:rsid w:val="006E1417"/>
    <w:rsid w:val="006E50FF"/>
    <w:rsid w:val="006E7D94"/>
    <w:rsid w:val="006F0365"/>
    <w:rsid w:val="006F645B"/>
    <w:rsid w:val="006F6A2C"/>
    <w:rsid w:val="007069DC"/>
    <w:rsid w:val="00707748"/>
    <w:rsid w:val="00710201"/>
    <w:rsid w:val="00714953"/>
    <w:rsid w:val="007152D9"/>
    <w:rsid w:val="007165FF"/>
    <w:rsid w:val="0072073A"/>
    <w:rsid w:val="007221E9"/>
    <w:rsid w:val="00725D3E"/>
    <w:rsid w:val="00730469"/>
    <w:rsid w:val="007323C7"/>
    <w:rsid w:val="00733B7B"/>
    <w:rsid w:val="00733CBE"/>
    <w:rsid w:val="007342B5"/>
    <w:rsid w:val="00734A5B"/>
    <w:rsid w:val="00740148"/>
    <w:rsid w:val="0074255A"/>
    <w:rsid w:val="00744E76"/>
    <w:rsid w:val="007472EC"/>
    <w:rsid w:val="00751A90"/>
    <w:rsid w:val="00755A19"/>
    <w:rsid w:val="00757D40"/>
    <w:rsid w:val="00761461"/>
    <w:rsid w:val="00761476"/>
    <w:rsid w:val="00764438"/>
    <w:rsid w:val="007662B5"/>
    <w:rsid w:val="007766D1"/>
    <w:rsid w:val="0078010B"/>
    <w:rsid w:val="00781F0F"/>
    <w:rsid w:val="00782AD8"/>
    <w:rsid w:val="007847AC"/>
    <w:rsid w:val="007855CA"/>
    <w:rsid w:val="0078727C"/>
    <w:rsid w:val="0079049D"/>
    <w:rsid w:val="0079331E"/>
    <w:rsid w:val="00793DC5"/>
    <w:rsid w:val="00794E2F"/>
    <w:rsid w:val="00796823"/>
    <w:rsid w:val="007A2450"/>
    <w:rsid w:val="007A2E55"/>
    <w:rsid w:val="007A4253"/>
    <w:rsid w:val="007A60D4"/>
    <w:rsid w:val="007B18D8"/>
    <w:rsid w:val="007B4C06"/>
    <w:rsid w:val="007B6080"/>
    <w:rsid w:val="007C07AD"/>
    <w:rsid w:val="007C095F"/>
    <w:rsid w:val="007C2DD0"/>
    <w:rsid w:val="007C2F0E"/>
    <w:rsid w:val="007C377E"/>
    <w:rsid w:val="007D69E2"/>
    <w:rsid w:val="007E0FF3"/>
    <w:rsid w:val="007E27D2"/>
    <w:rsid w:val="007F224A"/>
    <w:rsid w:val="007F2E08"/>
    <w:rsid w:val="007F56A0"/>
    <w:rsid w:val="008000A0"/>
    <w:rsid w:val="00801AE2"/>
    <w:rsid w:val="008024FA"/>
    <w:rsid w:val="008028A4"/>
    <w:rsid w:val="00804E64"/>
    <w:rsid w:val="008052B4"/>
    <w:rsid w:val="008109AB"/>
    <w:rsid w:val="00813245"/>
    <w:rsid w:val="0083571B"/>
    <w:rsid w:val="00840DE0"/>
    <w:rsid w:val="008412C3"/>
    <w:rsid w:val="0084252F"/>
    <w:rsid w:val="00847CD0"/>
    <w:rsid w:val="008543C5"/>
    <w:rsid w:val="00854D4F"/>
    <w:rsid w:val="00856755"/>
    <w:rsid w:val="008602B8"/>
    <w:rsid w:val="008607A8"/>
    <w:rsid w:val="0086354A"/>
    <w:rsid w:val="0087328F"/>
    <w:rsid w:val="008733AD"/>
    <w:rsid w:val="008768CA"/>
    <w:rsid w:val="00877AC4"/>
    <w:rsid w:val="00877EF9"/>
    <w:rsid w:val="00880559"/>
    <w:rsid w:val="00892213"/>
    <w:rsid w:val="008A072E"/>
    <w:rsid w:val="008A13F3"/>
    <w:rsid w:val="008A32BF"/>
    <w:rsid w:val="008B5306"/>
    <w:rsid w:val="008B54E8"/>
    <w:rsid w:val="008B5D67"/>
    <w:rsid w:val="008C2E2A"/>
    <w:rsid w:val="008C3057"/>
    <w:rsid w:val="008C4637"/>
    <w:rsid w:val="008C4D3F"/>
    <w:rsid w:val="008D2E4D"/>
    <w:rsid w:val="008D791B"/>
    <w:rsid w:val="008E3F9D"/>
    <w:rsid w:val="008E6BC6"/>
    <w:rsid w:val="008E76D7"/>
    <w:rsid w:val="008F32B7"/>
    <w:rsid w:val="008F396F"/>
    <w:rsid w:val="008F3DCD"/>
    <w:rsid w:val="008F4DAB"/>
    <w:rsid w:val="008F65E0"/>
    <w:rsid w:val="0090271F"/>
    <w:rsid w:val="00902DB9"/>
    <w:rsid w:val="0090466A"/>
    <w:rsid w:val="00905E5A"/>
    <w:rsid w:val="009138FD"/>
    <w:rsid w:val="009206D1"/>
    <w:rsid w:val="00923655"/>
    <w:rsid w:val="00927F29"/>
    <w:rsid w:val="0093272B"/>
    <w:rsid w:val="009339CB"/>
    <w:rsid w:val="00935693"/>
    <w:rsid w:val="00936071"/>
    <w:rsid w:val="009376CD"/>
    <w:rsid w:val="00937B62"/>
    <w:rsid w:val="00940212"/>
    <w:rsid w:val="00942EC2"/>
    <w:rsid w:val="00945E82"/>
    <w:rsid w:val="00946A92"/>
    <w:rsid w:val="00951664"/>
    <w:rsid w:val="009550BB"/>
    <w:rsid w:val="00961B32"/>
    <w:rsid w:val="0096234B"/>
    <w:rsid w:val="00962509"/>
    <w:rsid w:val="00970DB3"/>
    <w:rsid w:val="0097381E"/>
    <w:rsid w:val="0097477F"/>
    <w:rsid w:val="00974BB0"/>
    <w:rsid w:val="00975744"/>
    <w:rsid w:val="00975BCD"/>
    <w:rsid w:val="009766BB"/>
    <w:rsid w:val="00976A24"/>
    <w:rsid w:val="00976CA3"/>
    <w:rsid w:val="0098128B"/>
    <w:rsid w:val="009818A2"/>
    <w:rsid w:val="0098627A"/>
    <w:rsid w:val="009928A9"/>
    <w:rsid w:val="00993463"/>
    <w:rsid w:val="00996BF2"/>
    <w:rsid w:val="009A0AF3"/>
    <w:rsid w:val="009B07CD"/>
    <w:rsid w:val="009B0D8C"/>
    <w:rsid w:val="009B2699"/>
    <w:rsid w:val="009C0063"/>
    <w:rsid w:val="009C19E9"/>
    <w:rsid w:val="009C7BCB"/>
    <w:rsid w:val="009D26B2"/>
    <w:rsid w:val="009D28A0"/>
    <w:rsid w:val="009D6DFD"/>
    <w:rsid w:val="009D74A6"/>
    <w:rsid w:val="009E0E87"/>
    <w:rsid w:val="009E644B"/>
    <w:rsid w:val="009F6EF9"/>
    <w:rsid w:val="00A0014A"/>
    <w:rsid w:val="00A02A32"/>
    <w:rsid w:val="00A05565"/>
    <w:rsid w:val="00A057C1"/>
    <w:rsid w:val="00A10F02"/>
    <w:rsid w:val="00A14B71"/>
    <w:rsid w:val="00A15999"/>
    <w:rsid w:val="00A17176"/>
    <w:rsid w:val="00A204BD"/>
    <w:rsid w:val="00A204CA"/>
    <w:rsid w:val="00A209D6"/>
    <w:rsid w:val="00A22738"/>
    <w:rsid w:val="00A27208"/>
    <w:rsid w:val="00A31F08"/>
    <w:rsid w:val="00A36F5F"/>
    <w:rsid w:val="00A37562"/>
    <w:rsid w:val="00A430EC"/>
    <w:rsid w:val="00A4746C"/>
    <w:rsid w:val="00A47DA5"/>
    <w:rsid w:val="00A52285"/>
    <w:rsid w:val="00A53724"/>
    <w:rsid w:val="00A54B2B"/>
    <w:rsid w:val="00A57A97"/>
    <w:rsid w:val="00A61C10"/>
    <w:rsid w:val="00A63DEA"/>
    <w:rsid w:val="00A6447F"/>
    <w:rsid w:val="00A703B6"/>
    <w:rsid w:val="00A70B22"/>
    <w:rsid w:val="00A7309E"/>
    <w:rsid w:val="00A76349"/>
    <w:rsid w:val="00A812C8"/>
    <w:rsid w:val="00A82346"/>
    <w:rsid w:val="00A849D4"/>
    <w:rsid w:val="00A964E4"/>
    <w:rsid w:val="00A9671C"/>
    <w:rsid w:val="00A96FC0"/>
    <w:rsid w:val="00AA1553"/>
    <w:rsid w:val="00AB31BB"/>
    <w:rsid w:val="00AB3332"/>
    <w:rsid w:val="00AB5C0E"/>
    <w:rsid w:val="00AC2DB8"/>
    <w:rsid w:val="00AC3914"/>
    <w:rsid w:val="00AD1947"/>
    <w:rsid w:val="00AD587D"/>
    <w:rsid w:val="00AE1587"/>
    <w:rsid w:val="00AE1933"/>
    <w:rsid w:val="00AE6C39"/>
    <w:rsid w:val="00AE77C4"/>
    <w:rsid w:val="00AF4DC7"/>
    <w:rsid w:val="00AF59AC"/>
    <w:rsid w:val="00AF79AC"/>
    <w:rsid w:val="00B05162"/>
    <w:rsid w:val="00B05380"/>
    <w:rsid w:val="00B05962"/>
    <w:rsid w:val="00B06FA9"/>
    <w:rsid w:val="00B11027"/>
    <w:rsid w:val="00B15449"/>
    <w:rsid w:val="00B16C2F"/>
    <w:rsid w:val="00B16D98"/>
    <w:rsid w:val="00B26848"/>
    <w:rsid w:val="00B27303"/>
    <w:rsid w:val="00B313F0"/>
    <w:rsid w:val="00B35325"/>
    <w:rsid w:val="00B40B25"/>
    <w:rsid w:val="00B42257"/>
    <w:rsid w:val="00B4349D"/>
    <w:rsid w:val="00B45CB6"/>
    <w:rsid w:val="00B47FD1"/>
    <w:rsid w:val="00B516BB"/>
    <w:rsid w:val="00B5475D"/>
    <w:rsid w:val="00B67416"/>
    <w:rsid w:val="00B7538C"/>
    <w:rsid w:val="00B75B06"/>
    <w:rsid w:val="00B771E1"/>
    <w:rsid w:val="00B841D6"/>
    <w:rsid w:val="00B84B3A"/>
    <w:rsid w:val="00B84DB2"/>
    <w:rsid w:val="00B93811"/>
    <w:rsid w:val="00B94D90"/>
    <w:rsid w:val="00B97871"/>
    <w:rsid w:val="00B97D06"/>
    <w:rsid w:val="00BA15D7"/>
    <w:rsid w:val="00BA500C"/>
    <w:rsid w:val="00BC3555"/>
    <w:rsid w:val="00BC4480"/>
    <w:rsid w:val="00BC47B5"/>
    <w:rsid w:val="00BC568B"/>
    <w:rsid w:val="00BD2475"/>
    <w:rsid w:val="00BD368E"/>
    <w:rsid w:val="00BD3EB6"/>
    <w:rsid w:val="00BD5A32"/>
    <w:rsid w:val="00BD7FB8"/>
    <w:rsid w:val="00BE5547"/>
    <w:rsid w:val="00BF35F8"/>
    <w:rsid w:val="00BF3CFA"/>
    <w:rsid w:val="00BF467D"/>
    <w:rsid w:val="00BF50E8"/>
    <w:rsid w:val="00BF5A5F"/>
    <w:rsid w:val="00BF5E44"/>
    <w:rsid w:val="00C012D5"/>
    <w:rsid w:val="00C059E9"/>
    <w:rsid w:val="00C06ED3"/>
    <w:rsid w:val="00C110A2"/>
    <w:rsid w:val="00C12B51"/>
    <w:rsid w:val="00C24650"/>
    <w:rsid w:val="00C25465"/>
    <w:rsid w:val="00C3013D"/>
    <w:rsid w:val="00C33079"/>
    <w:rsid w:val="00C416CE"/>
    <w:rsid w:val="00C4515D"/>
    <w:rsid w:val="00C4580F"/>
    <w:rsid w:val="00C461E6"/>
    <w:rsid w:val="00C46229"/>
    <w:rsid w:val="00C46C32"/>
    <w:rsid w:val="00C52050"/>
    <w:rsid w:val="00C55A12"/>
    <w:rsid w:val="00C6553E"/>
    <w:rsid w:val="00C65CFA"/>
    <w:rsid w:val="00C73922"/>
    <w:rsid w:val="00C7442D"/>
    <w:rsid w:val="00C76170"/>
    <w:rsid w:val="00C7619B"/>
    <w:rsid w:val="00C8176D"/>
    <w:rsid w:val="00C83A13"/>
    <w:rsid w:val="00C85BDD"/>
    <w:rsid w:val="00C863EE"/>
    <w:rsid w:val="00C86F10"/>
    <w:rsid w:val="00C901AA"/>
    <w:rsid w:val="00C9068C"/>
    <w:rsid w:val="00C92967"/>
    <w:rsid w:val="00C96E07"/>
    <w:rsid w:val="00CA07A6"/>
    <w:rsid w:val="00CA0B7A"/>
    <w:rsid w:val="00CA3D0C"/>
    <w:rsid w:val="00CA4E82"/>
    <w:rsid w:val="00CA654B"/>
    <w:rsid w:val="00CA684F"/>
    <w:rsid w:val="00CB2549"/>
    <w:rsid w:val="00CB72B8"/>
    <w:rsid w:val="00CB760A"/>
    <w:rsid w:val="00CC32AD"/>
    <w:rsid w:val="00CC7433"/>
    <w:rsid w:val="00CD0BA8"/>
    <w:rsid w:val="00CD2398"/>
    <w:rsid w:val="00CD4C7B"/>
    <w:rsid w:val="00CD58FE"/>
    <w:rsid w:val="00CD749C"/>
    <w:rsid w:val="00CE1902"/>
    <w:rsid w:val="00CE5BF0"/>
    <w:rsid w:val="00CE5FD5"/>
    <w:rsid w:val="00CE67CC"/>
    <w:rsid w:val="00CF1044"/>
    <w:rsid w:val="00CF5242"/>
    <w:rsid w:val="00CF5768"/>
    <w:rsid w:val="00D0613A"/>
    <w:rsid w:val="00D071B5"/>
    <w:rsid w:val="00D1044E"/>
    <w:rsid w:val="00D14C75"/>
    <w:rsid w:val="00D24CBB"/>
    <w:rsid w:val="00D30694"/>
    <w:rsid w:val="00D33BE3"/>
    <w:rsid w:val="00D3792D"/>
    <w:rsid w:val="00D43E87"/>
    <w:rsid w:val="00D45148"/>
    <w:rsid w:val="00D51633"/>
    <w:rsid w:val="00D52893"/>
    <w:rsid w:val="00D54820"/>
    <w:rsid w:val="00D55E47"/>
    <w:rsid w:val="00D62E19"/>
    <w:rsid w:val="00D66DEC"/>
    <w:rsid w:val="00D67CD1"/>
    <w:rsid w:val="00D738D6"/>
    <w:rsid w:val="00D773F4"/>
    <w:rsid w:val="00D80795"/>
    <w:rsid w:val="00D83B79"/>
    <w:rsid w:val="00D854BE"/>
    <w:rsid w:val="00D878CA"/>
    <w:rsid w:val="00D87E00"/>
    <w:rsid w:val="00D9134D"/>
    <w:rsid w:val="00D947A4"/>
    <w:rsid w:val="00D96D11"/>
    <w:rsid w:val="00D9786B"/>
    <w:rsid w:val="00DA4863"/>
    <w:rsid w:val="00DA63D9"/>
    <w:rsid w:val="00DA70CF"/>
    <w:rsid w:val="00DA7A03"/>
    <w:rsid w:val="00DB0DB8"/>
    <w:rsid w:val="00DB1818"/>
    <w:rsid w:val="00DB3058"/>
    <w:rsid w:val="00DB62B3"/>
    <w:rsid w:val="00DB639D"/>
    <w:rsid w:val="00DB65E4"/>
    <w:rsid w:val="00DC309B"/>
    <w:rsid w:val="00DC337E"/>
    <w:rsid w:val="00DC364C"/>
    <w:rsid w:val="00DC3C98"/>
    <w:rsid w:val="00DC49DE"/>
    <w:rsid w:val="00DC4DA2"/>
    <w:rsid w:val="00DC5261"/>
    <w:rsid w:val="00DD5B2F"/>
    <w:rsid w:val="00DE25D2"/>
    <w:rsid w:val="00DE294E"/>
    <w:rsid w:val="00DE7A3C"/>
    <w:rsid w:val="00DF7C20"/>
    <w:rsid w:val="00E038FB"/>
    <w:rsid w:val="00E110D9"/>
    <w:rsid w:val="00E12FB9"/>
    <w:rsid w:val="00E15F1B"/>
    <w:rsid w:val="00E1706B"/>
    <w:rsid w:val="00E21E46"/>
    <w:rsid w:val="00E24F98"/>
    <w:rsid w:val="00E30193"/>
    <w:rsid w:val="00E32583"/>
    <w:rsid w:val="00E32673"/>
    <w:rsid w:val="00E355F8"/>
    <w:rsid w:val="00E4003F"/>
    <w:rsid w:val="00E44A01"/>
    <w:rsid w:val="00E44C8C"/>
    <w:rsid w:val="00E46C08"/>
    <w:rsid w:val="00E46EBB"/>
    <w:rsid w:val="00E471CF"/>
    <w:rsid w:val="00E53D42"/>
    <w:rsid w:val="00E54FBD"/>
    <w:rsid w:val="00E62835"/>
    <w:rsid w:val="00E6480E"/>
    <w:rsid w:val="00E67AE7"/>
    <w:rsid w:val="00E77645"/>
    <w:rsid w:val="00E83697"/>
    <w:rsid w:val="00E83798"/>
    <w:rsid w:val="00E84446"/>
    <w:rsid w:val="00E85866"/>
    <w:rsid w:val="00E859B6"/>
    <w:rsid w:val="00E9016F"/>
    <w:rsid w:val="00E95B38"/>
    <w:rsid w:val="00E95DCE"/>
    <w:rsid w:val="00EA1470"/>
    <w:rsid w:val="00EA66C9"/>
    <w:rsid w:val="00EB0D8A"/>
    <w:rsid w:val="00EB221B"/>
    <w:rsid w:val="00EB5D32"/>
    <w:rsid w:val="00EC4A25"/>
    <w:rsid w:val="00ED7BAD"/>
    <w:rsid w:val="00EE1BFE"/>
    <w:rsid w:val="00EE6E74"/>
    <w:rsid w:val="00EE718E"/>
    <w:rsid w:val="00EF50F4"/>
    <w:rsid w:val="00EF612C"/>
    <w:rsid w:val="00F00739"/>
    <w:rsid w:val="00F025A2"/>
    <w:rsid w:val="00F036E9"/>
    <w:rsid w:val="00F07388"/>
    <w:rsid w:val="00F11FC7"/>
    <w:rsid w:val="00F172CA"/>
    <w:rsid w:val="00F17D8D"/>
    <w:rsid w:val="00F2026E"/>
    <w:rsid w:val="00F2210A"/>
    <w:rsid w:val="00F26178"/>
    <w:rsid w:val="00F31372"/>
    <w:rsid w:val="00F33947"/>
    <w:rsid w:val="00F34748"/>
    <w:rsid w:val="00F37743"/>
    <w:rsid w:val="00F44B9A"/>
    <w:rsid w:val="00F54A3D"/>
    <w:rsid w:val="00F54CB0"/>
    <w:rsid w:val="00F579CD"/>
    <w:rsid w:val="00F653B8"/>
    <w:rsid w:val="00F71B89"/>
    <w:rsid w:val="00F728E5"/>
    <w:rsid w:val="00F72BBE"/>
    <w:rsid w:val="00F7353C"/>
    <w:rsid w:val="00F753DC"/>
    <w:rsid w:val="00F75BEC"/>
    <w:rsid w:val="00F76F8F"/>
    <w:rsid w:val="00F87257"/>
    <w:rsid w:val="00F910A7"/>
    <w:rsid w:val="00F930B9"/>
    <w:rsid w:val="00F93A7F"/>
    <w:rsid w:val="00F941DF"/>
    <w:rsid w:val="00FA1266"/>
    <w:rsid w:val="00FA3409"/>
    <w:rsid w:val="00FA5A59"/>
    <w:rsid w:val="00FB2BE0"/>
    <w:rsid w:val="00FB3203"/>
    <w:rsid w:val="00FB36FA"/>
    <w:rsid w:val="00FC0460"/>
    <w:rsid w:val="00FC1192"/>
    <w:rsid w:val="00FC5F1E"/>
    <w:rsid w:val="00FD00A8"/>
    <w:rsid w:val="00FD5150"/>
    <w:rsid w:val="00FD66F9"/>
    <w:rsid w:val="00FD6DBB"/>
    <w:rsid w:val="00FE106D"/>
    <w:rsid w:val="00FE1894"/>
    <w:rsid w:val="00FE251B"/>
    <w:rsid w:val="00FE29F0"/>
    <w:rsid w:val="00FE5C4B"/>
    <w:rsid w:val="00FE7C48"/>
    <w:rsid w:val="00FF4C28"/>
    <w:rsid w:val="00FF764C"/>
    <w:rsid w:val="17668648"/>
    <w:rsid w:val="1C26B89A"/>
    <w:rsid w:val="1FFC8D0B"/>
    <w:rsid w:val="23900C0F"/>
    <w:rsid w:val="2CFE9679"/>
    <w:rsid w:val="36512B10"/>
    <w:rsid w:val="46DB3364"/>
    <w:rsid w:val="4A98EACC"/>
    <w:rsid w:val="578F2E2D"/>
    <w:rsid w:val="59D4A0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282E06"/>
    <w:pPr>
      <w:ind w:left="720"/>
      <w:contextualSpacing/>
    </w:p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Revision">
    <w:name w:val="Revision"/>
    <w:hidden/>
    <w:uiPriority w:val="99"/>
    <w:semiHidden/>
    <w:rsid w:val="00D947A4"/>
    <w:rPr>
      <w:lang w:eastAsia="en-US"/>
    </w:rPr>
  </w:style>
  <w:style w:type="character" w:styleId="FollowedHyperlink">
    <w:name w:val="FollowedHyperlink"/>
    <w:basedOn w:val="DefaultParagraphFont"/>
    <w:rsid w:val="001E447F"/>
    <w:rPr>
      <w:color w:val="954F72" w:themeColor="followedHyperlink"/>
      <w:u w:val="single"/>
    </w:rPr>
  </w:style>
  <w:style w:type="paragraph" w:customStyle="1" w:styleId="Agreement">
    <w:name w:val="Agreement"/>
    <w:basedOn w:val="Normal"/>
    <w:next w:val="Normal"/>
    <w:uiPriority w:val="99"/>
    <w:qFormat/>
    <w:rsid w:val="00390D93"/>
    <w:pPr>
      <w:numPr>
        <w:numId w:val="9"/>
      </w:numPr>
      <w:spacing w:before="60" w:after="0"/>
    </w:pPr>
    <w:rPr>
      <w:rFonts w:ascii="Arial" w:eastAsia="MS Mincho" w:hAnsi="Arial"/>
      <w:b/>
      <w:szCs w:val="24"/>
      <w:lang w:eastAsia="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CA4E82"/>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A4E82"/>
    <w:rPr>
      <w:rFonts w:ascii="Arial" w:hAnsi="Arial"/>
      <w:sz w:val="24"/>
      <w:lang w:eastAsia="en-US"/>
    </w:rPr>
  </w:style>
  <w:style w:type="character" w:customStyle="1" w:styleId="TFChar">
    <w:name w:val="TF Char"/>
    <w:link w:val="TF"/>
    <w:qFormat/>
    <w:locked/>
    <w:rsid w:val="00CA4E82"/>
    <w:rPr>
      <w:rFonts w:ascii="Arial" w:hAnsi="Arial"/>
      <w:b/>
      <w:lang w:eastAsia="en-US"/>
    </w:rPr>
  </w:style>
  <w:style w:type="character" w:customStyle="1" w:styleId="NOChar">
    <w:name w:val="NO Char"/>
    <w:link w:val="NO"/>
    <w:qFormat/>
    <w:locked/>
    <w:rsid w:val="00CA4E82"/>
    <w:rPr>
      <w:lang w:eastAsia="en-US"/>
    </w:rPr>
  </w:style>
  <w:style w:type="character" w:customStyle="1" w:styleId="TALCar">
    <w:name w:val="TAL Car"/>
    <w:link w:val="TAL"/>
    <w:qFormat/>
    <w:locked/>
    <w:rsid w:val="000B7D3F"/>
    <w:rPr>
      <w:rFonts w:ascii="Arial" w:hAnsi="Arial"/>
      <w:sz w:val="18"/>
      <w:lang w:eastAsia="en-US"/>
    </w:rPr>
  </w:style>
  <w:style w:type="character" w:customStyle="1" w:styleId="TACChar">
    <w:name w:val="TAC Char"/>
    <w:link w:val="TAC"/>
    <w:qFormat/>
    <w:locked/>
    <w:rsid w:val="000B7D3F"/>
    <w:rPr>
      <w:rFonts w:ascii="Arial" w:hAnsi="Arial"/>
      <w:sz w:val="18"/>
      <w:lang w:eastAsia="en-US"/>
    </w:rPr>
  </w:style>
  <w:style w:type="character" w:customStyle="1" w:styleId="TAHCar">
    <w:name w:val="TAH Car"/>
    <w:link w:val="TAH"/>
    <w:qFormat/>
    <w:locked/>
    <w:rsid w:val="000B7D3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033594">
      <w:bodyDiv w:val="1"/>
      <w:marLeft w:val="0"/>
      <w:marRight w:val="0"/>
      <w:marTop w:val="0"/>
      <w:marBottom w:val="0"/>
      <w:divBdr>
        <w:top w:val="none" w:sz="0" w:space="0" w:color="auto"/>
        <w:left w:val="none" w:sz="0" w:space="0" w:color="auto"/>
        <w:bottom w:val="none" w:sz="0" w:space="0" w:color="auto"/>
        <w:right w:val="none" w:sz="0" w:space="0" w:color="auto"/>
      </w:divBdr>
    </w:div>
    <w:div w:id="235435474">
      <w:bodyDiv w:val="1"/>
      <w:marLeft w:val="0"/>
      <w:marRight w:val="0"/>
      <w:marTop w:val="0"/>
      <w:marBottom w:val="0"/>
      <w:divBdr>
        <w:top w:val="none" w:sz="0" w:space="0" w:color="auto"/>
        <w:left w:val="none" w:sz="0" w:space="0" w:color="auto"/>
        <w:bottom w:val="none" w:sz="0" w:space="0" w:color="auto"/>
        <w:right w:val="none" w:sz="0" w:space="0" w:color="auto"/>
      </w:divBdr>
    </w:div>
    <w:div w:id="405765344">
      <w:bodyDiv w:val="1"/>
      <w:marLeft w:val="0"/>
      <w:marRight w:val="0"/>
      <w:marTop w:val="0"/>
      <w:marBottom w:val="0"/>
      <w:divBdr>
        <w:top w:val="none" w:sz="0" w:space="0" w:color="auto"/>
        <w:left w:val="none" w:sz="0" w:space="0" w:color="auto"/>
        <w:bottom w:val="none" w:sz="0" w:space="0" w:color="auto"/>
        <w:right w:val="none" w:sz="0" w:space="0" w:color="auto"/>
      </w:divBdr>
    </w:div>
    <w:div w:id="45102329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596704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3_Iu/TSGR3_121-bis/Docs/R3-235697.zip" TargetMode="External"/><Relationship Id="rId18" Type="http://schemas.openxmlformats.org/officeDocument/2006/relationships/hyperlink" Target="https://www.3gpp.org/ftp/tsg_ran/WG2_RL2/TSGR2_121bis-e/Docs/R2-2302929.zip"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3_Iu/TSGR3_121/Docs/R3-234010.zip"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3gpp.org/ftp/tsg_ran/WG3_Iu/TSGR3_118/Docs/R3-226101.zip" TargetMode="External"/><Relationship Id="rId20" Type="http://schemas.openxmlformats.org/officeDocument/2006/relationships/image" Target="media/image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3gpp.org/ftp/tsg_ran/WG3_Iu/TSGR3_119bis-e/Docs/R3-231101.zip"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RAN/WG3_iu/TSGR3_121-bis/Docs/R3-235977.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20/Docs/R2-2211101.zip"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5AIRPNAIUNRU-859666464-15286</_dlc_DocId>
    <_dlc_DocIdUrl xmlns="71c5aaf6-e6ce-465b-b873-5148d2a4c105">
      <Url>https://nokia.sharepoint.com/sites/c5g/e2earch/_layouts/15/DocIdRedir.aspx?ID=5AIRPNAIUNRU-859666464-15286</Url>
      <Description>5AIRPNAIUNRU-859666464-15286</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213B45F-9A82-46B5-A720-05E679447E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C4FEC9-1E5A-407B-A133-8FE33AAB82BC}">
  <ds:schemaRefs>
    <ds:schemaRef ds:uri="http://schemas.openxmlformats.org/officeDocument/2006/bibliography"/>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880</TotalTime>
  <Pages>5</Pages>
  <Words>2522</Words>
  <Characters>14208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Lappalainen (Nokia)</dc:creator>
  <cp:keywords/>
  <dc:description/>
  <cp:lastModifiedBy>Andrew Lappalainen (Nokia)</cp:lastModifiedBy>
  <cp:revision>651</cp:revision>
  <dcterms:created xsi:type="dcterms:W3CDTF">2016-08-12T13:53:00Z</dcterms:created>
  <dcterms:modified xsi:type="dcterms:W3CDTF">2023-11-03T01:40:00Z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6795f93e-c801-4f5d-82f0-fa767ac4ea60</vt:lpwstr>
  </property>
  <property fmtid="{D5CDD505-2E9C-101B-9397-08002B2CF9AE}" pid="4" name="MediaServiceImageTags">
    <vt:lpwstr/>
  </property>
</Properties>
</file>